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C9E196" w14:textId="77777777" w:rsidR="00B56A19" w:rsidRDefault="00B56A19" w:rsidP="00F64AAC">
      <w:pPr>
        <w:rPr>
          <w:b/>
          <w:bCs/>
          <w:sz w:val="24"/>
          <w:szCs w:val="24"/>
        </w:rPr>
      </w:pPr>
    </w:p>
    <w:p w14:paraId="3CE0081E" w14:textId="77777777" w:rsidR="00B56A19" w:rsidRPr="00B56A19" w:rsidRDefault="00B56A19" w:rsidP="00B56A19">
      <w:pPr>
        <w:spacing w:before="120" w:after="120" w:line="240" w:lineRule="auto"/>
        <w:rPr>
          <w:b/>
          <w:bCs/>
          <w:sz w:val="24"/>
          <w:szCs w:val="24"/>
        </w:rPr>
      </w:pPr>
      <w:r w:rsidRPr="00B56A19">
        <w:rPr>
          <w:b/>
          <w:bCs/>
          <w:sz w:val="24"/>
          <w:szCs w:val="24"/>
        </w:rPr>
        <w:t>TOPIC: HAZARD COMMUNICATIONS</w:t>
      </w:r>
    </w:p>
    <w:p w14:paraId="79A42B74" w14:textId="7B3D4A5E" w:rsidR="000B0208" w:rsidRPr="00B56A19" w:rsidRDefault="000B0208" w:rsidP="00B56A19">
      <w:pPr>
        <w:spacing w:before="120" w:after="120" w:line="240" w:lineRule="auto"/>
        <w:rPr>
          <w:sz w:val="24"/>
          <w:szCs w:val="24"/>
        </w:rPr>
      </w:pPr>
      <w:r w:rsidRPr="00B56A19">
        <w:rPr>
          <w:sz w:val="24"/>
          <w:szCs w:val="24"/>
        </w:rPr>
        <w:t>Hazard Communication (HAZCOM)</w:t>
      </w:r>
      <w:r w:rsidR="00F64AAC" w:rsidRPr="00B56A19">
        <w:rPr>
          <w:sz w:val="24"/>
          <w:szCs w:val="24"/>
        </w:rPr>
        <w:t xml:space="preserve"> is also know as “The Employee’s Right to Know” law and was enacted to </w:t>
      </w:r>
      <w:r w:rsidR="00F9362B">
        <w:rPr>
          <w:sz w:val="24"/>
          <w:szCs w:val="24"/>
        </w:rPr>
        <w:t xml:space="preserve">ensure </w:t>
      </w:r>
      <w:r w:rsidR="00F64AAC" w:rsidRPr="00B56A19">
        <w:rPr>
          <w:sz w:val="24"/>
          <w:szCs w:val="24"/>
        </w:rPr>
        <w:t xml:space="preserve">employee’s </w:t>
      </w:r>
      <w:r w:rsidR="00F64AAC" w:rsidRPr="00F9362B">
        <w:rPr>
          <w:sz w:val="24"/>
          <w:szCs w:val="24"/>
          <w:u w:val="single"/>
        </w:rPr>
        <w:t>understand</w:t>
      </w:r>
      <w:r w:rsidR="00F64AAC" w:rsidRPr="00B56A19">
        <w:rPr>
          <w:sz w:val="24"/>
          <w:szCs w:val="24"/>
        </w:rPr>
        <w:t xml:space="preserve"> that they have a right to know what hazards they may be exposed to in the workplace </w:t>
      </w:r>
      <w:r w:rsidRPr="00B56A19">
        <w:rPr>
          <w:sz w:val="24"/>
          <w:szCs w:val="24"/>
        </w:rPr>
        <w:t>and </w:t>
      </w:r>
      <w:r w:rsidR="00102D87">
        <w:rPr>
          <w:sz w:val="24"/>
          <w:szCs w:val="24"/>
        </w:rPr>
        <w:t xml:space="preserve">it </w:t>
      </w:r>
      <w:r w:rsidR="00F64AAC" w:rsidRPr="00B56A19">
        <w:rPr>
          <w:sz w:val="24"/>
          <w:szCs w:val="24"/>
        </w:rPr>
        <w:t>require</w:t>
      </w:r>
      <w:r w:rsidR="00102D87">
        <w:rPr>
          <w:sz w:val="24"/>
          <w:szCs w:val="24"/>
        </w:rPr>
        <w:t>s</w:t>
      </w:r>
      <w:r w:rsidR="00F64AAC" w:rsidRPr="00B56A19">
        <w:rPr>
          <w:sz w:val="24"/>
          <w:szCs w:val="24"/>
        </w:rPr>
        <w:t xml:space="preserve"> employers </w:t>
      </w:r>
      <w:r w:rsidR="00102D87">
        <w:rPr>
          <w:sz w:val="24"/>
          <w:szCs w:val="24"/>
        </w:rPr>
        <w:t xml:space="preserve">to </w:t>
      </w:r>
      <w:r w:rsidR="00F64AAC" w:rsidRPr="00B56A19">
        <w:rPr>
          <w:sz w:val="24"/>
          <w:szCs w:val="24"/>
        </w:rPr>
        <w:t xml:space="preserve">provide their staff with essential safety information regarding </w:t>
      </w:r>
      <w:r w:rsidR="00F9362B">
        <w:rPr>
          <w:sz w:val="24"/>
          <w:szCs w:val="24"/>
        </w:rPr>
        <w:t xml:space="preserve">what </w:t>
      </w:r>
      <w:r w:rsidR="00F64AAC" w:rsidRPr="00B56A19">
        <w:rPr>
          <w:sz w:val="24"/>
          <w:szCs w:val="24"/>
        </w:rPr>
        <w:t>those hazards</w:t>
      </w:r>
      <w:r w:rsidR="00F9362B">
        <w:rPr>
          <w:sz w:val="24"/>
          <w:szCs w:val="24"/>
        </w:rPr>
        <w:t xml:space="preserve"> are, where they are located, and how to protect themselves from those hazards.  </w:t>
      </w:r>
    </w:p>
    <w:p w14:paraId="2A240910" w14:textId="6084041E" w:rsidR="000B0208" w:rsidRPr="00B56A19" w:rsidRDefault="000B0208" w:rsidP="00B56A19">
      <w:pPr>
        <w:spacing w:before="120" w:after="120" w:line="240" w:lineRule="auto"/>
        <w:rPr>
          <w:sz w:val="24"/>
          <w:szCs w:val="24"/>
        </w:rPr>
      </w:pPr>
      <w:r w:rsidRPr="00B56A19">
        <w:rPr>
          <w:sz w:val="24"/>
          <w:szCs w:val="24"/>
        </w:rPr>
        <w:t xml:space="preserve">Hazard Communication </w:t>
      </w:r>
      <w:r w:rsidR="00981FA1" w:rsidRPr="00B56A19">
        <w:rPr>
          <w:sz w:val="24"/>
          <w:szCs w:val="24"/>
        </w:rPr>
        <w:t>programs</w:t>
      </w:r>
      <w:r w:rsidRPr="00B56A19">
        <w:rPr>
          <w:sz w:val="24"/>
          <w:szCs w:val="24"/>
        </w:rPr>
        <w:t xml:space="preserve"> help to reduce chemical-related occupational illnesses and injuries by providing specific information that identifies and evaluates hazardous chemicals in the workplace. Tools such as</w:t>
      </w:r>
      <w:r w:rsidRPr="00B56A19">
        <w:rPr>
          <w:color w:val="000000" w:themeColor="text1"/>
          <w:sz w:val="24"/>
          <w:szCs w:val="24"/>
        </w:rPr>
        <w:t> </w:t>
      </w:r>
      <w:hyperlink r:id="rId8" w:tgtFrame="_blank" w:history="1">
        <w:r w:rsidRPr="00B56A19">
          <w:rPr>
            <w:rStyle w:val="Hyperlink"/>
            <w:color w:val="000000" w:themeColor="text1"/>
            <w:sz w:val="24"/>
            <w:szCs w:val="24"/>
            <w:u w:val="none"/>
          </w:rPr>
          <w:t>Safety Data Sheets (SDS) and GHS</w:t>
        </w:r>
        <w:r w:rsidR="00102D87">
          <w:rPr>
            <w:rStyle w:val="Hyperlink"/>
            <w:color w:val="000000" w:themeColor="text1"/>
            <w:sz w:val="24"/>
            <w:szCs w:val="24"/>
            <w:u w:val="none"/>
          </w:rPr>
          <w:t xml:space="preserve"> (Globally Harmonized System)</w:t>
        </w:r>
        <w:r w:rsidRPr="00B56A19">
          <w:rPr>
            <w:rStyle w:val="Hyperlink"/>
            <w:color w:val="000000" w:themeColor="text1"/>
            <w:sz w:val="24"/>
            <w:szCs w:val="24"/>
            <w:u w:val="none"/>
          </w:rPr>
          <w:t xml:space="preserve"> container labels</w:t>
        </w:r>
      </w:hyperlink>
      <w:r w:rsidRPr="00B56A19">
        <w:rPr>
          <w:sz w:val="24"/>
          <w:szCs w:val="24"/>
        </w:rPr>
        <w:t> help employers identify and communicate these hazards in a standardized form.</w:t>
      </w:r>
    </w:p>
    <w:p w14:paraId="437C7178" w14:textId="4A8D5921" w:rsidR="000B0208" w:rsidRPr="00B56A19" w:rsidRDefault="000B0208" w:rsidP="00B56A19">
      <w:pPr>
        <w:spacing w:before="120" w:after="120" w:line="240" w:lineRule="auto"/>
        <w:rPr>
          <w:sz w:val="24"/>
          <w:szCs w:val="24"/>
        </w:rPr>
      </w:pPr>
      <w:r w:rsidRPr="00B56A19">
        <w:rPr>
          <w:sz w:val="24"/>
          <w:szCs w:val="24"/>
        </w:rPr>
        <w:t>A Safety Data Sheet</w:t>
      </w:r>
      <w:r w:rsidR="00981FA1" w:rsidRPr="00B56A19">
        <w:rPr>
          <w:sz w:val="24"/>
          <w:szCs w:val="24"/>
        </w:rPr>
        <w:t xml:space="preserve"> should come with all chemical orders, but they can also be obtained directly from the </w:t>
      </w:r>
      <w:r w:rsidRPr="00B56A19">
        <w:rPr>
          <w:sz w:val="24"/>
          <w:szCs w:val="24"/>
        </w:rPr>
        <w:t>manufacturer</w:t>
      </w:r>
      <w:r w:rsidR="00102D87">
        <w:rPr>
          <w:sz w:val="24"/>
          <w:szCs w:val="24"/>
        </w:rPr>
        <w:t xml:space="preserve"> by going to their website</w:t>
      </w:r>
      <w:r w:rsidR="00981FA1" w:rsidRPr="00B56A19">
        <w:rPr>
          <w:sz w:val="24"/>
          <w:szCs w:val="24"/>
        </w:rPr>
        <w:t xml:space="preserve">.  These sheets </w:t>
      </w:r>
      <w:r w:rsidRPr="00B56A19">
        <w:rPr>
          <w:sz w:val="24"/>
          <w:szCs w:val="24"/>
        </w:rPr>
        <w:t xml:space="preserve">contain information regarding </w:t>
      </w:r>
      <w:r w:rsidR="00B56A19" w:rsidRPr="00B56A19">
        <w:rPr>
          <w:sz w:val="24"/>
          <w:szCs w:val="24"/>
        </w:rPr>
        <w:t>all</w:t>
      </w:r>
      <w:r w:rsidRPr="00B56A19">
        <w:rPr>
          <w:sz w:val="24"/>
          <w:szCs w:val="24"/>
        </w:rPr>
        <w:t xml:space="preserve"> the associated hazards with a </w:t>
      </w:r>
      <w:r w:rsidR="00102D87" w:rsidRPr="00B56A19">
        <w:rPr>
          <w:sz w:val="24"/>
          <w:szCs w:val="24"/>
        </w:rPr>
        <w:t>chemical</w:t>
      </w:r>
      <w:r w:rsidRPr="00B56A19">
        <w:rPr>
          <w:sz w:val="24"/>
          <w:szCs w:val="24"/>
        </w:rPr>
        <w:t xml:space="preserve">. In addition, it provides guidelines on how to protect yourself against these hazards and provides emergency contact information/procedures in the event of emergency. </w:t>
      </w:r>
      <w:r w:rsidR="00102D87">
        <w:rPr>
          <w:sz w:val="24"/>
          <w:szCs w:val="24"/>
        </w:rPr>
        <w:t xml:space="preserve">It is essential that you are trained </w:t>
      </w:r>
      <w:r w:rsidRPr="00B56A19">
        <w:rPr>
          <w:sz w:val="24"/>
          <w:szCs w:val="24"/>
        </w:rPr>
        <w:t>to be able to read and understand the information within an SDS.</w:t>
      </w:r>
    </w:p>
    <w:p w14:paraId="1819ED73" w14:textId="77777777" w:rsidR="000B0208" w:rsidRPr="00B56A19" w:rsidRDefault="000B0208" w:rsidP="00B56A19">
      <w:pPr>
        <w:spacing w:before="120" w:after="120" w:line="240" w:lineRule="auto"/>
        <w:rPr>
          <w:sz w:val="24"/>
          <w:szCs w:val="24"/>
        </w:rPr>
      </w:pPr>
      <w:r w:rsidRPr="00B56A19">
        <w:rPr>
          <w:sz w:val="24"/>
          <w:szCs w:val="24"/>
        </w:rPr>
        <w:t>Information found on an SDS includes, but is not limited to:</w:t>
      </w:r>
    </w:p>
    <w:p w14:paraId="35B71AFC" w14:textId="77777777" w:rsidR="000B0208" w:rsidRPr="00B56A19" w:rsidRDefault="000B0208" w:rsidP="00B56A19">
      <w:pPr>
        <w:pStyle w:val="ListParagraph"/>
        <w:numPr>
          <w:ilvl w:val="0"/>
          <w:numId w:val="4"/>
        </w:numPr>
        <w:spacing w:before="120" w:after="120" w:line="240" w:lineRule="auto"/>
        <w:rPr>
          <w:sz w:val="24"/>
          <w:szCs w:val="24"/>
        </w:rPr>
      </w:pPr>
      <w:r w:rsidRPr="00B56A19">
        <w:rPr>
          <w:sz w:val="24"/>
          <w:szCs w:val="24"/>
        </w:rPr>
        <w:t>Manufacturer’s Information</w:t>
      </w:r>
    </w:p>
    <w:p w14:paraId="4C9316F4" w14:textId="77777777" w:rsidR="000B0208" w:rsidRPr="00B56A19" w:rsidRDefault="000B0208" w:rsidP="00B56A19">
      <w:pPr>
        <w:pStyle w:val="ListParagraph"/>
        <w:numPr>
          <w:ilvl w:val="0"/>
          <w:numId w:val="4"/>
        </w:numPr>
        <w:spacing w:before="120" w:after="120" w:line="240" w:lineRule="auto"/>
        <w:rPr>
          <w:sz w:val="24"/>
          <w:szCs w:val="24"/>
        </w:rPr>
      </w:pPr>
      <w:r w:rsidRPr="00B56A19">
        <w:rPr>
          <w:sz w:val="24"/>
          <w:szCs w:val="24"/>
        </w:rPr>
        <w:t>Chemical Composition</w:t>
      </w:r>
    </w:p>
    <w:p w14:paraId="41E46D93" w14:textId="77777777" w:rsidR="000B0208" w:rsidRPr="00B56A19" w:rsidRDefault="000B0208" w:rsidP="00B56A19">
      <w:pPr>
        <w:pStyle w:val="ListParagraph"/>
        <w:numPr>
          <w:ilvl w:val="0"/>
          <w:numId w:val="4"/>
        </w:numPr>
        <w:spacing w:before="120" w:after="120" w:line="240" w:lineRule="auto"/>
        <w:rPr>
          <w:sz w:val="24"/>
          <w:szCs w:val="24"/>
        </w:rPr>
      </w:pPr>
      <w:r w:rsidRPr="00B56A19">
        <w:rPr>
          <w:sz w:val="24"/>
          <w:szCs w:val="24"/>
        </w:rPr>
        <w:t>First Aid Measures</w:t>
      </w:r>
    </w:p>
    <w:p w14:paraId="734C7F8F" w14:textId="77777777" w:rsidR="000B0208" w:rsidRPr="00B56A19" w:rsidRDefault="000B0208" w:rsidP="00B56A19">
      <w:pPr>
        <w:pStyle w:val="ListParagraph"/>
        <w:numPr>
          <w:ilvl w:val="0"/>
          <w:numId w:val="4"/>
        </w:numPr>
        <w:spacing w:before="120" w:after="120" w:line="240" w:lineRule="auto"/>
        <w:rPr>
          <w:sz w:val="24"/>
          <w:szCs w:val="24"/>
        </w:rPr>
      </w:pPr>
      <w:r w:rsidRPr="00B56A19">
        <w:rPr>
          <w:sz w:val="24"/>
          <w:szCs w:val="24"/>
        </w:rPr>
        <w:t>Fire Fighting Measures</w:t>
      </w:r>
    </w:p>
    <w:p w14:paraId="58C68503" w14:textId="77777777" w:rsidR="000B0208" w:rsidRPr="00B56A19" w:rsidRDefault="000B0208" w:rsidP="00B56A19">
      <w:pPr>
        <w:pStyle w:val="ListParagraph"/>
        <w:numPr>
          <w:ilvl w:val="0"/>
          <w:numId w:val="4"/>
        </w:numPr>
        <w:spacing w:before="120" w:after="120" w:line="240" w:lineRule="auto"/>
        <w:rPr>
          <w:sz w:val="24"/>
          <w:szCs w:val="24"/>
        </w:rPr>
      </w:pPr>
      <w:r w:rsidRPr="00B56A19">
        <w:rPr>
          <w:sz w:val="24"/>
          <w:szCs w:val="24"/>
        </w:rPr>
        <w:t>Accidental Release Measures</w:t>
      </w:r>
    </w:p>
    <w:p w14:paraId="52E9ABDD" w14:textId="77777777" w:rsidR="000B0208" w:rsidRPr="00B56A19" w:rsidRDefault="000B0208" w:rsidP="00B56A19">
      <w:pPr>
        <w:pStyle w:val="ListParagraph"/>
        <w:numPr>
          <w:ilvl w:val="0"/>
          <w:numId w:val="4"/>
        </w:numPr>
        <w:spacing w:before="120" w:after="120" w:line="240" w:lineRule="auto"/>
        <w:rPr>
          <w:sz w:val="24"/>
          <w:szCs w:val="24"/>
        </w:rPr>
      </w:pPr>
      <w:r w:rsidRPr="00B56A19">
        <w:rPr>
          <w:sz w:val="24"/>
          <w:szCs w:val="24"/>
        </w:rPr>
        <w:t>Handling and Storage requirements</w:t>
      </w:r>
    </w:p>
    <w:p w14:paraId="69732D13" w14:textId="77777777" w:rsidR="000B0208" w:rsidRPr="00B56A19" w:rsidRDefault="000B0208" w:rsidP="00B56A19">
      <w:pPr>
        <w:pStyle w:val="ListParagraph"/>
        <w:numPr>
          <w:ilvl w:val="0"/>
          <w:numId w:val="4"/>
        </w:numPr>
        <w:spacing w:before="120" w:after="120" w:line="240" w:lineRule="auto"/>
        <w:rPr>
          <w:sz w:val="24"/>
          <w:szCs w:val="24"/>
        </w:rPr>
      </w:pPr>
      <w:r w:rsidRPr="00B56A19">
        <w:rPr>
          <w:sz w:val="24"/>
          <w:szCs w:val="24"/>
        </w:rPr>
        <w:t>Exposure Control / Personal Protection</w:t>
      </w:r>
    </w:p>
    <w:p w14:paraId="02953269" w14:textId="77777777" w:rsidR="000B0208" w:rsidRPr="00B56A19" w:rsidRDefault="000B0208" w:rsidP="00B56A19">
      <w:pPr>
        <w:pStyle w:val="ListParagraph"/>
        <w:numPr>
          <w:ilvl w:val="0"/>
          <w:numId w:val="4"/>
        </w:numPr>
        <w:spacing w:before="120" w:after="120" w:line="240" w:lineRule="auto"/>
        <w:rPr>
          <w:sz w:val="24"/>
          <w:szCs w:val="24"/>
        </w:rPr>
      </w:pPr>
      <w:r w:rsidRPr="00B56A19">
        <w:rPr>
          <w:sz w:val="24"/>
          <w:szCs w:val="24"/>
        </w:rPr>
        <w:t>Physical and Chemical Properties</w:t>
      </w:r>
    </w:p>
    <w:p w14:paraId="30BB86F7" w14:textId="77777777" w:rsidR="000B0208" w:rsidRPr="00B56A19" w:rsidRDefault="000B0208" w:rsidP="00B56A19">
      <w:pPr>
        <w:pStyle w:val="ListParagraph"/>
        <w:numPr>
          <w:ilvl w:val="0"/>
          <w:numId w:val="4"/>
        </w:numPr>
        <w:spacing w:before="120" w:after="120" w:line="240" w:lineRule="auto"/>
        <w:rPr>
          <w:sz w:val="24"/>
          <w:szCs w:val="24"/>
        </w:rPr>
      </w:pPr>
      <w:r w:rsidRPr="00B56A19">
        <w:rPr>
          <w:sz w:val="24"/>
          <w:szCs w:val="24"/>
        </w:rPr>
        <w:t>Stability and Reactivity</w:t>
      </w:r>
    </w:p>
    <w:p w14:paraId="25357AA4" w14:textId="77777777" w:rsidR="000B0208" w:rsidRPr="00B56A19" w:rsidRDefault="000B0208" w:rsidP="00B56A19">
      <w:pPr>
        <w:pStyle w:val="ListParagraph"/>
        <w:numPr>
          <w:ilvl w:val="0"/>
          <w:numId w:val="4"/>
        </w:numPr>
        <w:spacing w:before="120" w:after="120" w:line="240" w:lineRule="auto"/>
        <w:rPr>
          <w:sz w:val="24"/>
          <w:szCs w:val="24"/>
        </w:rPr>
      </w:pPr>
      <w:r w:rsidRPr="00B56A19">
        <w:rPr>
          <w:sz w:val="24"/>
          <w:szCs w:val="24"/>
        </w:rPr>
        <w:t>Toxicological, Ecological Information</w:t>
      </w:r>
    </w:p>
    <w:p w14:paraId="0FAEA5F2" w14:textId="77777777" w:rsidR="000B0208" w:rsidRPr="00B56A19" w:rsidRDefault="000B0208" w:rsidP="00B56A19">
      <w:pPr>
        <w:pStyle w:val="ListParagraph"/>
        <w:numPr>
          <w:ilvl w:val="0"/>
          <w:numId w:val="4"/>
        </w:numPr>
        <w:spacing w:before="120" w:after="120" w:line="240" w:lineRule="auto"/>
        <w:rPr>
          <w:sz w:val="24"/>
          <w:szCs w:val="24"/>
        </w:rPr>
      </w:pPr>
      <w:r w:rsidRPr="00B56A19">
        <w:rPr>
          <w:sz w:val="24"/>
          <w:szCs w:val="24"/>
        </w:rPr>
        <w:t>Disposal and Transportation Information</w:t>
      </w:r>
    </w:p>
    <w:p w14:paraId="3A20E984" w14:textId="4600B724" w:rsidR="000B0208" w:rsidRPr="00B56A19" w:rsidRDefault="000B0208" w:rsidP="00B56A19">
      <w:pPr>
        <w:spacing w:before="120" w:after="120" w:line="240" w:lineRule="auto"/>
        <w:rPr>
          <w:sz w:val="24"/>
          <w:szCs w:val="24"/>
        </w:rPr>
      </w:pPr>
      <w:r w:rsidRPr="00B56A19">
        <w:rPr>
          <w:sz w:val="24"/>
          <w:szCs w:val="24"/>
        </w:rPr>
        <w:t>Proper labels are required for every container within our facilit</w:t>
      </w:r>
      <w:r w:rsidR="00102D87">
        <w:rPr>
          <w:sz w:val="24"/>
          <w:szCs w:val="24"/>
        </w:rPr>
        <w:t>ies t</w:t>
      </w:r>
      <w:r w:rsidRPr="00B56A19">
        <w:rPr>
          <w:sz w:val="24"/>
          <w:szCs w:val="24"/>
        </w:rPr>
        <w:t xml:space="preserve">hat houses a hazardous chemical. </w:t>
      </w:r>
    </w:p>
    <w:p w14:paraId="11F90BC1" w14:textId="77777777" w:rsidR="000B0208" w:rsidRPr="00B56A19" w:rsidRDefault="000B0208" w:rsidP="00B56A19">
      <w:pPr>
        <w:spacing w:before="120" w:after="120" w:line="240" w:lineRule="auto"/>
        <w:rPr>
          <w:sz w:val="24"/>
          <w:szCs w:val="24"/>
        </w:rPr>
      </w:pPr>
      <w:r w:rsidRPr="00B56A19">
        <w:rPr>
          <w:sz w:val="24"/>
          <w:szCs w:val="24"/>
        </w:rPr>
        <w:t>Information required on Labels include:</w:t>
      </w:r>
    </w:p>
    <w:p w14:paraId="1A449899" w14:textId="77777777" w:rsidR="000B0208" w:rsidRPr="00B56A19" w:rsidRDefault="000B0208" w:rsidP="00B56A19">
      <w:pPr>
        <w:pStyle w:val="ListParagraph"/>
        <w:numPr>
          <w:ilvl w:val="0"/>
          <w:numId w:val="5"/>
        </w:numPr>
        <w:spacing w:before="120" w:after="120" w:line="240" w:lineRule="auto"/>
        <w:rPr>
          <w:sz w:val="24"/>
          <w:szCs w:val="24"/>
        </w:rPr>
      </w:pPr>
      <w:r w:rsidRPr="00B56A19">
        <w:rPr>
          <w:sz w:val="24"/>
          <w:szCs w:val="24"/>
        </w:rPr>
        <w:t>Identity of the Hazardous Chemical</w:t>
      </w:r>
    </w:p>
    <w:p w14:paraId="549EE2DF" w14:textId="77777777" w:rsidR="000B0208" w:rsidRPr="00B56A19" w:rsidRDefault="000B0208" w:rsidP="00B56A19">
      <w:pPr>
        <w:pStyle w:val="ListParagraph"/>
        <w:numPr>
          <w:ilvl w:val="0"/>
          <w:numId w:val="5"/>
        </w:numPr>
        <w:spacing w:before="120" w:after="120" w:line="240" w:lineRule="auto"/>
        <w:rPr>
          <w:sz w:val="24"/>
          <w:szCs w:val="24"/>
        </w:rPr>
      </w:pPr>
      <w:r w:rsidRPr="00B56A19">
        <w:rPr>
          <w:sz w:val="24"/>
          <w:szCs w:val="24"/>
        </w:rPr>
        <w:t>Appropriate Hazard Warnings</w:t>
      </w:r>
    </w:p>
    <w:p w14:paraId="6E72752D" w14:textId="77777777" w:rsidR="000B0208" w:rsidRPr="00B56A19" w:rsidRDefault="000B0208" w:rsidP="00B56A19">
      <w:pPr>
        <w:pStyle w:val="ListParagraph"/>
        <w:numPr>
          <w:ilvl w:val="0"/>
          <w:numId w:val="5"/>
        </w:numPr>
        <w:spacing w:before="120" w:after="120" w:line="240" w:lineRule="auto"/>
        <w:rPr>
          <w:sz w:val="24"/>
          <w:szCs w:val="24"/>
        </w:rPr>
      </w:pPr>
      <w:r w:rsidRPr="00B56A19">
        <w:rPr>
          <w:sz w:val="24"/>
          <w:szCs w:val="24"/>
        </w:rPr>
        <w:t>Chemical Manufacturers Information</w:t>
      </w:r>
    </w:p>
    <w:p w14:paraId="38063C54" w14:textId="77777777" w:rsidR="000B0208" w:rsidRPr="00B56A19" w:rsidRDefault="000B0208" w:rsidP="00B56A19">
      <w:pPr>
        <w:pStyle w:val="ListParagraph"/>
        <w:numPr>
          <w:ilvl w:val="0"/>
          <w:numId w:val="5"/>
        </w:numPr>
        <w:spacing w:before="120" w:after="120" w:line="240" w:lineRule="auto"/>
        <w:rPr>
          <w:sz w:val="24"/>
          <w:szCs w:val="24"/>
        </w:rPr>
      </w:pPr>
      <w:r w:rsidRPr="00B56A19">
        <w:rPr>
          <w:sz w:val="24"/>
          <w:szCs w:val="24"/>
        </w:rPr>
        <w:lastRenderedPageBreak/>
        <w:t>First Aid Measures</w:t>
      </w:r>
    </w:p>
    <w:p w14:paraId="62453B74" w14:textId="77777777" w:rsidR="000B0208" w:rsidRPr="00B56A19" w:rsidRDefault="000B0208" w:rsidP="00B56A19">
      <w:pPr>
        <w:pStyle w:val="ListParagraph"/>
        <w:numPr>
          <w:ilvl w:val="0"/>
          <w:numId w:val="5"/>
        </w:numPr>
        <w:spacing w:before="120" w:after="120" w:line="240" w:lineRule="auto"/>
        <w:rPr>
          <w:sz w:val="24"/>
          <w:szCs w:val="24"/>
        </w:rPr>
      </w:pPr>
      <w:r w:rsidRPr="00B56A19">
        <w:rPr>
          <w:sz w:val="24"/>
          <w:szCs w:val="24"/>
        </w:rPr>
        <w:t>Chemical Ingredients</w:t>
      </w:r>
    </w:p>
    <w:p w14:paraId="2AFD3193" w14:textId="2BC43C7C" w:rsidR="00102D87" w:rsidRDefault="00102D87" w:rsidP="00B56A19">
      <w:pPr>
        <w:spacing w:before="120" w:after="120" w:line="240" w:lineRule="auto"/>
        <w:rPr>
          <w:sz w:val="24"/>
          <w:szCs w:val="24"/>
        </w:rPr>
      </w:pPr>
      <w:r w:rsidRPr="00102D87">
        <w:rPr>
          <w:sz w:val="24"/>
          <w:szCs w:val="24"/>
        </w:rPr>
        <w:t xml:space="preserve">The importance of these labels is amplified when we’re using generic containers, such as spray bottles. Each label should contain information that identifies the chemical within the container along with </w:t>
      </w:r>
      <w:r w:rsidR="00D12A86" w:rsidRPr="00102D87">
        <w:rPr>
          <w:sz w:val="24"/>
          <w:szCs w:val="24"/>
        </w:rPr>
        <w:t>all</w:t>
      </w:r>
      <w:r w:rsidRPr="00102D87">
        <w:rPr>
          <w:sz w:val="24"/>
          <w:szCs w:val="24"/>
        </w:rPr>
        <w:t xml:space="preserve"> its hazard information.  The use of these “secondary containers” is limited to the person who put the chemical in the secondary container for the duration of that person’s shift.  At the end of that person’s shift, the contents of the secondary container need to be disposed of.</w:t>
      </w:r>
    </w:p>
    <w:p w14:paraId="1506C249" w14:textId="31EA3256" w:rsidR="000B0208" w:rsidRPr="00B56A19" w:rsidRDefault="00D12A86" w:rsidP="00B56A19">
      <w:pPr>
        <w:spacing w:before="120" w:after="120" w:line="240" w:lineRule="auto"/>
        <w:rPr>
          <w:sz w:val="24"/>
          <w:szCs w:val="24"/>
        </w:rPr>
      </w:pPr>
      <w:r>
        <w:rPr>
          <w:sz w:val="24"/>
          <w:szCs w:val="24"/>
        </w:rPr>
        <w:t>For</w:t>
      </w:r>
      <w:r w:rsidR="00102D87">
        <w:rPr>
          <w:sz w:val="24"/>
          <w:szCs w:val="24"/>
        </w:rPr>
        <w:t xml:space="preserve"> our HazCom program to be effective, OSHA recommends the following:</w:t>
      </w:r>
    </w:p>
    <w:p w14:paraId="49C5CA82" w14:textId="1C704BA4" w:rsidR="00102D87" w:rsidRDefault="00D12A86" w:rsidP="00B56A19">
      <w:pPr>
        <w:pStyle w:val="ListParagraph"/>
        <w:numPr>
          <w:ilvl w:val="0"/>
          <w:numId w:val="6"/>
        </w:numPr>
        <w:spacing w:before="120" w:after="120" w:line="240" w:lineRule="auto"/>
        <w:rPr>
          <w:sz w:val="24"/>
          <w:szCs w:val="24"/>
        </w:rPr>
      </w:pPr>
      <w:r>
        <w:rPr>
          <w:sz w:val="24"/>
          <w:szCs w:val="24"/>
        </w:rPr>
        <w:t>All</w:t>
      </w:r>
      <w:r w:rsidR="00102D87">
        <w:rPr>
          <w:sz w:val="24"/>
          <w:szCs w:val="24"/>
        </w:rPr>
        <w:t xml:space="preserve"> our affected employees need to know </w:t>
      </w:r>
      <w:r w:rsidR="000B0208" w:rsidRPr="00B56A19">
        <w:rPr>
          <w:sz w:val="24"/>
          <w:szCs w:val="24"/>
        </w:rPr>
        <w:t>how to access SDS binders</w:t>
      </w:r>
    </w:p>
    <w:p w14:paraId="35608982" w14:textId="77777777" w:rsidR="00102D87" w:rsidRDefault="00102D87" w:rsidP="00102D87">
      <w:pPr>
        <w:pStyle w:val="ListParagraph"/>
        <w:numPr>
          <w:ilvl w:val="1"/>
          <w:numId w:val="6"/>
        </w:numPr>
        <w:spacing w:before="120" w:after="120" w:line="240" w:lineRule="auto"/>
        <w:rPr>
          <w:sz w:val="24"/>
          <w:szCs w:val="24"/>
        </w:rPr>
      </w:pPr>
      <w:r>
        <w:rPr>
          <w:sz w:val="24"/>
          <w:szCs w:val="24"/>
        </w:rPr>
        <w:t>Where the binder is located</w:t>
      </w:r>
    </w:p>
    <w:p w14:paraId="35946A4D" w14:textId="636E0031" w:rsidR="00102D87" w:rsidRDefault="00D12A86" w:rsidP="00102D87">
      <w:pPr>
        <w:pStyle w:val="ListParagraph"/>
        <w:numPr>
          <w:ilvl w:val="1"/>
          <w:numId w:val="6"/>
        </w:numPr>
        <w:spacing w:before="120" w:after="120" w:line="240" w:lineRule="auto"/>
        <w:rPr>
          <w:sz w:val="24"/>
          <w:szCs w:val="24"/>
        </w:rPr>
      </w:pPr>
      <w:r>
        <w:rPr>
          <w:sz w:val="24"/>
          <w:szCs w:val="24"/>
        </w:rPr>
        <w:t>SDS binder m</w:t>
      </w:r>
      <w:r w:rsidR="00102D87">
        <w:rPr>
          <w:sz w:val="24"/>
          <w:szCs w:val="24"/>
        </w:rPr>
        <w:t>ust be available to all employees during all shifts</w:t>
      </w:r>
    </w:p>
    <w:p w14:paraId="3F5828A3" w14:textId="735C517B" w:rsidR="000B0208" w:rsidRPr="00B56A19" w:rsidRDefault="00D12A86" w:rsidP="00102D87">
      <w:pPr>
        <w:pStyle w:val="ListParagraph"/>
        <w:numPr>
          <w:ilvl w:val="1"/>
          <w:numId w:val="6"/>
        </w:numPr>
        <w:spacing w:before="120" w:after="120" w:line="240" w:lineRule="auto"/>
        <w:rPr>
          <w:sz w:val="24"/>
          <w:szCs w:val="24"/>
        </w:rPr>
      </w:pPr>
      <w:r>
        <w:rPr>
          <w:sz w:val="24"/>
          <w:szCs w:val="24"/>
        </w:rPr>
        <w:t>Employees should have online access to obtain any missing or outdated SDS</w:t>
      </w:r>
    </w:p>
    <w:p w14:paraId="341BBEF2" w14:textId="7D465A3C" w:rsidR="000B0208" w:rsidRPr="00B56A19" w:rsidRDefault="00D12A86" w:rsidP="00B56A19">
      <w:pPr>
        <w:pStyle w:val="ListParagraph"/>
        <w:numPr>
          <w:ilvl w:val="0"/>
          <w:numId w:val="6"/>
        </w:numPr>
        <w:spacing w:before="120" w:after="120" w:line="240" w:lineRule="auto"/>
        <w:rPr>
          <w:sz w:val="24"/>
          <w:szCs w:val="24"/>
        </w:rPr>
      </w:pPr>
      <w:r>
        <w:rPr>
          <w:sz w:val="24"/>
          <w:szCs w:val="24"/>
        </w:rPr>
        <w:t xml:space="preserve">All affected employees should familiarize themselves </w:t>
      </w:r>
      <w:r w:rsidR="000B0208" w:rsidRPr="00B56A19">
        <w:rPr>
          <w:sz w:val="24"/>
          <w:szCs w:val="24"/>
        </w:rPr>
        <w:t xml:space="preserve">with </w:t>
      </w:r>
      <w:r>
        <w:rPr>
          <w:sz w:val="24"/>
          <w:szCs w:val="24"/>
        </w:rPr>
        <w:t xml:space="preserve">all </w:t>
      </w:r>
      <w:r w:rsidR="000B0208" w:rsidRPr="00B56A19">
        <w:rPr>
          <w:sz w:val="24"/>
          <w:szCs w:val="24"/>
        </w:rPr>
        <w:t xml:space="preserve">chemical hazards in </w:t>
      </w:r>
      <w:r>
        <w:rPr>
          <w:sz w:val="24"/>
          <w:szCs w:val="24"/>
        </w:rPr>
        <w:t>the</w:t>
      </w:r>
      <w:r w:rsidR="000B0208" w:rsidRPr="00B56A19">
        <w:rPr>
          <w:sz w:val="24"/>
          <w:szCs w:val="24"/>
        </w:rPr>
        <w:t xml:space="preserve"> workplace.</w:t>
      </w:r>
    </w:p>
    <w:p w14:paraId="27791991" w14:textId="77777777" w:rsidR="000B0208" w:rsidRPr="00B56A19" w:rsidRDefault="000B0208" w:rsidP="00B56A19">
      <w:pPr>
        <w:pStyle w:val="ListParagraph"/>
        <w:numPr>
          <w:ilvl w:val="0"/>
          <w:numId w:val="6"/>
        </w:numPr>
        <w:spacing w:before="120" w:after="120" w:line="240" w:lineRule="auto"/>
        <w:rPr>
          <w:sz w:val="24"/>
          <w:szCs w:val="24"/>
        </w:rPr>
      </w:pPr>
      <w:r w:rsidRPr="00B56A19">
        <w:rPr>
          <w:sz w:val="24"/>
          <w:szCs w:val="24"/>
        </w:rPr>
        <w:t>An SDS must be available for every chemical used in the workplace.</w:t>
      </w:r>
    </w:p>
    <w:p w14:paraId="6BD6865F" w14:textId="77777777" w:rsidR="000B0208" w:rsidRPr="00B56A19" w:rsidRDefault="000B0208" w:rsidP="00B56A19">
      <w:pPr>
        <w:pStyle w:val="ListParagraph"/>
        <w:numPr>
          <w:ilvl w:val="0"/>
          <w:numId w:val="6"/>
        </w:numPr>
        <w:spacing w:before="120" w:after="120" w:line="240" w:lineRule="auto"/>
        <w:rPr>
          <w:sz w:val="24"/>
          <w:szCs w:val="24"/>
        </w:rPr>
      </w:pPr>
      <w:r w:rsidRPr="00B56A19">
        <w:rPr>
          <w:sz w:val="24"/>
          <w:szCs w:val="24"/>
        </w:rPr>
        <w:t>Every container used to store a chemical must be properly labeled.</w:t>
      </w:r>
    </w:p>
    <w:p w14:paraId="1FEDDB48" w14:textId="57058629" w:rsidR="000B0208" w:rsidRPr="00B56A19" w:rsidRDefault="00D12A86" w:rsidP="00B56A19">
      <w:pPr>
        <w:pStyle w:val="ListParagraph"/>
        <w:numPr>
          <w:ilvl w:val="0"/>
          <w:numId w:val="6"/>
        </w:numPr>
        <w:spacing w:before="120" w:after="120" w:line="240" w:lineRule="auto"/>
        <w:rPr>
          <w:sz w:val="24"/>
          <w:szCs w:val="24"/>
        </w:rPr>
      </w:pPr>
      <w:r>
        <w:rPr>
          <w:sz w:val="24"/>
          <w:szCs w:val="24"/>
        </w:rPr>
        <w:t xml:space="preserve">All affected employees should </w:t>
      </w:r>
      <w:r w:rsidR="000B0208" w:rsidRPr="00B56A19">
        <w:rPr>
          <w:sz w:val="24"/>
          <w:szCs w:val="24"/>
        </w:rPr>
        <w:t>read the label and SDS before using the chemical.</w:t>
      </w:r>
    </w:p>
    <w:p w14:paraId="03021ADF" w14:textId="30029074" w:rsidR="000B0208" w:rsidRPr="00B56A19" w:rsidRDefault="00D12A86" w:rsidP="00B56A19">
      <w:pPr>
        <w:pStyle w:val="ListParagraph"/>
        <w:numPr>
          <w:ilvl w:val="0"/>
          <w:numId w:val="6"/>
        </w:numPr>
        <w:spacing w:before="120" w:after="120" w:line="240" w:lineRule="auto"/>
        <w:rPr>
          <w:sz w:val="24"/>
          <w:szCs w:val="24"/>
        </w:rPr>
      </w:pPr>
      <w:r>
        <w:rPr>
          <w:sz w:val="24"/>
          <w:szCs w:val="24"/>
        </w:rPr>
        <w:t>Any PPE listed on the SDS is REQUIRED to be work by any employee using the chemical.</w:t>
      </w:r>
    </w:p>
    <w:p w14:paraId="02CD9BF5" w14:textId="6D5C9035" w:rsidR="000B0208" w:rsidRPr="00B56A19" w:rsidRDefault="00D12A86" w:rsidP="00B56A19">
      <w:pPr>
        <w:pStyle w:val="ListParagraph"/>
        <w:numPr>
          <w:ilvl w:val="0"/>
          <w:numId w:val="6"/>
        </w:numPr>
        <w:spacing w:before="120" w:after="120" w:line="240" w:lineRule="auto"/>
        <w:rPr>
          <w:sz w:val="24"/>
          <w:szCs w:val="24"/>
        </w:rPr>
      </w:pPr>
      <w:r>
        <w:rPr>
          <w:sz w:val="24"/>
          <w:szCs w:val="24"/>
        </w:rPr>
        <w:t xml:space="preserve">ALL chemicals are to be stored </w:t>
      </w:r>
      <w:r w:rsidR="000B0208" w:rsidRPr="00B56A19">
        <w:rPr>
          <w:sz w:val="24"/>
          <w:szCs w:val="24"/>
        </w:rPr>
        <w:t>in accordance with the manufacturer’s instructions.</w:t>
      </w:r>
    </w:p>
    <w:p w14:paraId="24E4A94D" w14:textId="77777777" w:rsidR="000B0208" w:rsidRPr="00B56A19" w:rsidRDefault="000B0208" w:rsidP="00B56A19">
      <w:pPr>
        <w:pStyle w:val="ListParagraph"/>
        <w:numPr>
          <w:ilvl w:val="0"/>
          <w:numId w:val="6"/>
        </w:numPr>
        <w:spacing w:before="120" w:after="120" w:line="240" w:lineRule="auto"/>
        <w:rPr>
          <w:sz w:val="24"/>
          <w:szCs w:val="24"/>
        </w:rPr>
      </w:pPr>
      <w:r w:rsidRPr="00B56A19">
        <w:rPr>
          <w:sz w:val="24"/>
          <w:szCs w:val="24"/>
        </w:rPr>
        <w:t>DO NOT dispose of excess or waste in a drain or trash can.</w:t>
      </w:r>
    </w:p>
    <w:p w14:paraId="733FA849" w14:textId="6D6C875E" w:rsidR="000B0208" w:rsidRPr="00B56A19" w:rsidRDefault="000B0208" w:rsidP="00B56A19">
      <w:pPr>
        <w:pStyle w:val="ListParagraph"/>
        <w:numPr>
          <w:ilvl w:val="0"/>
          <w:numId w:val="6"/>
        </w:numPr>
        <w:spacing w:before="120" w:after="120" w:line="240" w:lineRule="auto"/>
        <w:rPr>
          <w:sz w:val="24"/>
          <w:szCs w:val="24"/>
        </w:rPr>
      </w:pPr>
      <w:r w:rsidRPr="00B56A19">
        <w:rPr>
          <w:sz w:val="24"/>
          <w:szCs w:val="24"/>
        </w:rPr>
        <w:t>Cleaning agents should never be mixed with one another, unless directed by the manufacturer</w:t>
      </w:r>
      <w:r w:rsidR="00D12A86">
        <w:rPr>
          <w:sz w:val="24"/>
          <w:szCs w:val="24"/>
        </w:rPr>
        <w:t>.</w:t>
      </w:r>
    </w:p>
    <w:p w14:paraId="53165332" w14:textId="5B4F8B35" w:rsidR="00B56A19" w:rsidRDefault="000B0208" w:rsidP="00D12A86">
      <w:pPr>
        <w:pStyle w:val="ListParagraph"/>
        <w:numPr>
          <w:ilvl w:val="0"/>
          <w:numId w:val="6"/>
        </w:numPr>
        <w:spacing w:before="120" w:after="120" w:line="240" w:lineRule="auto"/>
        <w:rPr>
          <w:sz w:val="24"/>
          <w:szCs w:val="24"/>
        </w:rPr>
      </w:pPr>
      <w:r w:rsidRPr="00B56A19">
        <w:rPr>
          <w:sz w:val="24"/>
          <w:szCs w:val="24"/>
        </w:rPr>
        <w:t>When portioning chemicals into a separate container, proper labels must be used to identify the contents of the generic container. Information on the label must include the chemical name and a hazard warning that briefly describes the effects of the chemical</w:t>
      </w:r>
      <w:r w:rsidR="00D12A86">
        <w:rPr>
          <w:sz w:val="24"/>
          <w:szCs w:val="24"/>
        </w:rPr>
        <w:t>.</w:t>
      </w:r>
    </w:p>
    <w:p w14:paraId="57831276" w14:textId="7B27FEBD" w:rsidR="00D12A86" w:rsidRDefault="00D12A86" w:rsidP="00D12A86">
      <w:pPr>
        <w:spacing w:before="120" w:after="120" w:line="240" w:lineRule="auto"/>
        <w:rPr>
          <w:sz w:val="24"/>
          <w:szCs w:val="24"/>
        </w:rPr>
      </w:pPr>
      <w:r>
        <w:rPr>
          <w:sz w:val="24"/>
          <w:szCs w:val="24"/>
        </w:rPr>
        <w:t>Hazard Communications is a big subject and would take hours to cover thoroughly</w:t>
      </w:r>
      <w:r w:rsidR="00916744">
        <w:rPr>
          <w:sz w:val="24"/>
          <w:szCs w:val="24"/>
        </w:rPr>
        <w:t xml:space="preserve">.  Today’s toolbox talk is just a general overview of Hazard Communications.  We will cover other aspects of Hazard Communications such as labels, storage, SDS, etc. in subsequent toolbox talks.  </w:t>
      </w:r>
    </w:p>
    <w:p w14:paraId="3474ADF1" w14:textId="0DCC0DD1" w:rsidR="00916744" w:rsidRPr="00D12A86" w:rsidRDefault="00916744" w:rsidP="00D12A86">
      <w:pPr>
        <w:spacing w:before="120" w:after="120" w:line="240" w:lineRule="auto"/>
        <w:rPr>
          <w:sz w:val="24"/>
          <w:szCs w:val="24"/>
        </w:rPr>
      </w:pPr>
      <w:r>
        <w:rPr>
          <w:sz w:val="24"/>
          <w:szCs w:val="24"/>
        </w:rPr>
        <w:t>If you have any questions, please address them with your supervisor.  It is extremely important that you feel comfortable with the information shared today.</w:t>
      </w:r>
      <w:bookmarkStart w:id="0" w:name="_GoBack"/>
      <w:bookmarkEnd w:id="0"/>
    </w:p>
    <w:p w14:paraId="1A82769D" w14:textId="3CC153C9" w:rsidR="00D12A86" w:rsidRDefault="00D12A86">
      <w:r>
        <w:br w:type="page"/>
      </w:r>
    </w:p>
    <w:p w14:paraId="5FB81AE9" w14:textId="77777777" w:rsidR="00EA526C" w:rsidRDefault="00EA526C" w:rsidP="00F64AAC"/>
    <w:tbl>
      <w:tblPr>
        <w:tblStyle w:val="TableGrid"/>
        <w:tblW w:w="5003"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CellMar>
          <w:left w:w="115" w:type="dxa"/>
          <w:right w:w="115" w:type="dxa"/>
        </w:tblCellMar>
        <w:tblLook w:val="01E0" w:firstRow="1" w:lastRow="1" w:firstColumn="1" w:lastColumn="1" w:noHBand="0" w:noVBand="0"/>
        <w:tblDescription w:val="Layout table to add meeting details"/>
      </w:tblPr>
      <w:tblGrid>
        <w:gridCol w:w="9356"/>
      </w:tblGrid>
      <w:tr w:rsidR="00B56A19" w:rsidRPr="0084533D" w14:paraId="38332E0B" w14:textId="77777777" w:rsidTr="00B56A19">
        <w:trPr>
          <w:trHeight w:val="576"/>
        </w:trPr>
        <w:tc>
          <w:tcPr>
            <w:tcW w:w="9355" w:type="dxa"/>
            <w:shd w:val="clear" w:color="auto" w:fill="D9D9D9"/>
            <w:vAlign w:val="center"/>
          </w:tcPr>
          <w:p w14:paraId="1A0D2986" w14:textId="77777777" w:rsidR="00B56A19" w:rsidRDefault="00B56A19" w:rsidP="00484CB0">
            <w:pPr>
              <w:pStyle w:val="Heading1"/>
              <w:jc w:val="center"/>
              <w:outlineLvl w:val="0"/>
            </w:pPr>
            <w:r>
              <w:t>hazard communications</w:t>
            </w:r>
          </w:p>
          <w:p w14:paraId="05FEADE9" w14:textId="77777777" w:rsidR="00B56A19" w:rsidRPr="00002C7F" w:rsidRDefault="00B56A19" w:rsidP="00484CB0">
            <w:pPr>
              <w:jc w:val="center"/>
            </w:pPr>
            <w:r>
              <w:t>Toolbox Talk</w:t>
            </w:r>
          </w:p>
          <w:p w14:paraId="166267EA" w14:textId="77777777" w:rsidR="00B56A19" w:rsidRDefault="00B56A19" w:rsidP="00484CB0">
            <w:pPr>
              <w:jc w:val="center"/>
            </w:pPr>
            <w:r>
              <w:t>State of Nevada</w:t>
            </w:r>
          </w:p>
          <w:p w14:paraId="58392C30" w14:textId="77777777" w:rsidR="00B56A19" w:rsidRDefault="00B56A19" w:rsidP="00484CB0">
            <w:pPr>
              <w:jc w:val="center"/>
            </w:pPr>
            <w:r>
              <w:t>Division of State Parks</w:t>
            </w:r>
          </w:p>
          <w:p w14:paraId="2460FF69" w14:textId="77777777" w:rsidR="00B56A19" w:rsidRPr="008D0678" w:rsidRDefault="00B56A19" w:rsidP="00484CB0">
            <w:pPr>
              <w:jc w:val="center"/>
            </w:pPr>
          </w:p>
        </w:tc>
      </w:tr>
    </w:tbl>
    <w:tbl>
      <w:tblPr>
        <w:tblStyle w:val="TableTheme"/>
        <w:tblW w:w="5000" w:type="pct"/>
        <w:tblLayout w:type="fixed"/>
        <w:tblLook w:val="0620" w:firstRow="1" w:lastRow="0" w:firstColumn="0" w:lastColumn="0" w:noHBand="1" w:noVBand="1"/>
        <w:tblDescription w:val="Layout table to add meeting details"/>
      </w:tblPr>
      <w:tblGrid>
        <w:gridCol w:w="9350"/>
      </w:tblGrid>
      <w:tr w:rsidR="00B56A19" w14:paraId="13D86490" w14:textId="77777777" w:rsidTr="00484CB0">
        <w:trPr>
          <w:trHeight w:val="385"/>
        </w:trPr>
        <w:tc>
          <w:tcPr>
            <w:tcW w:w="10790" w:type="dxa"/>
          </w:tcPr>
          <w:p w14:paraId="1E7A401A" w14:textId="77777777" w:rsidR="00B56A19" w:rsidRDefault="00B56A19" w:rsidP="00484CB0">
            <w:pPr>
              <w:rPr>
                <w:rFonts w:ascii="Century Gothic" w:eastAsia="Times New Roman" w:hAnsi="Century Gothic"/>
                <w:color w:val="333333"/>
              </w:rPr>
            </w:pPr>
            <w:r>
              <w:rPr>
                <w:rFonts w:ascii="Century Gothic" w:eastAsia="Times New Roman" w:hAnsi="Century Gothic"/>
                <w:color w:val="333333"/>
              </w:rPr>
              <w:t xml:space="preserve">Under OSHA law, Nevada Division of State Parks is responsible for providing employees a workplace that is free of known safety hazards.  We want </w:t>
            </w:r>
            <w:proofErr w:type="gramStart"/>
            <w:r>
              <w:rPr>
                <w:rFonts w:ascii="Century Gothic" w:eastAsia="Times New Roman" w:hAnsi="Century Gothic"/>
                <w:color w:val="333333"/>
              </w:rPr>
              <w:t>all of</w:t>
            </w:r>
            <w:proofErr w:type="gramEnd"/>
            <w:r>
              <w:rPr>
                <w:rFonts w:ascii="Century Gothic" w:eastAsia="Times New Roman" w:hAnsi="Century Gothic"/>
                <w:color w:val="333333"/>
              </w:rPr>
              <w:t xml:space="preserve"> our staff to be alert to potential safety hazards and we want our staff to know what hazards are present, how to protect themselves, and what to do in the event they encounter a workplace hazard.</w:t>
            </w:r>
          </w:p>
          <w:p w14:paraId="52F9F2B2" w14:textId="77777777" w:rsidR="00B56A19" w:rsidRDefault="00B56A19" w:rsidP="00484CB0">
            <w:pPr>
              <w:rPr>
                <w:rFonts w:ascii="Century Gothic" w:eastAsia="Times New Roman" w:hAnsi="Century Gothic"/>
                <w:color w:val="333333"/>
              </w:rPr>
            </w:pPr>
          </w:p>
          <w:p w14:paraId="59E07AEB" w14:textId="77777777" w:rsidR="00B56A19" w:rsidRPr="00002C7F" w:rsidRDefault="00B56A19" w:rsidP="00484CB0">
            <w:pPr>
              <w:rPr>
                <w:rFonts w:ascii="Century Gothic" w:eastAsia="Times New Roman" w:hAnsi="Century Gothic"/>
                <w:color w:val="333333"/>
              </w:rPr>
            </w:pPr>
            <w:r>
              <w:rPr>
                <w:rFonts w:ascii="Century Gothic" w:eastAsia="Times New Roman" w:hAnsi="Century Gothic"/>
                <w:color w:val="333333"/>
              </w:rPr>
              <w:t xml:space="preserve">Please read the attached document.  If you understand what you have read and have no questions, please sign this sheet as a record of training.  If you do not fully understand the information or have questions, please contact your direct supervisor for assistance.  Once </w:t>
            </w:r>
            <w:proofErr w:type="gramStart"/>
            <w:r>
              <w:rPr>
                <w:rFonts w:ascii="Century Gothic" w:eastAsia="Times New Roman" w:hAnsi="Century Gothic"/>
                <w:color w:val="333333"/>
              </w:rPr>
              <w:t>all of</w:t>
            </w:r>
            <w:proofErr w:type="gramEnd"/>
            <w:r>
              <w:rPr>
                <w:rFonts w:ascii="Century Gothic" w:eastAsia="Times New Roman" w:hAnsi="Century Gothic"/>
                <w:color w:val="333333"/>
              </w:rPr>
              <w:t xml:space="preserve"> your questions have been satisfactorily answered, please sign this sheet.</w:t>
            </w:r>
          </w:p>
        </w:tc>
      </w:tr>
    </w:tbl>
    <w:p w14:paraId="6F969DF5" w14:textId="77777777" w:rsidR="00B56A19" w:rsidRDefault="00B56A19" w:rsidP="00B56A19">
      <w:r>
        <w:t>This sign-in sheet is for:</w:t>
      </w:r>
    </w:p>
    <w:tbl>
      <w:tblPr>
        <w:tblStyle w:val="TableGrid"/>
        <w:tblpPr w:leftFromText="180" w:rightFromText="180" w:vertAnchor="text" w:horzAnchor="margin" w:tblpY="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5"/>
        <w:gridCol w:w="2515"/>
      </w:tblGrid>
      <w:tr w:rsidR="00B56A19" w14:paraId="6CFA0C4C" w14:textId="77777777" w:rsidTr="00484CB0">
        <w:tc>
          <w:tcPr>
            <w:tcW w:w="5395" w:type="dxa"/>
          </w:tcPr>
          <w:p w14:paraId="0036C24F" w14:textId="77777777" w:rsidR="00B56A19" w:rsidRDefault="00B56A19" w:rsidP="00484CB0">
            <w:proofErr w:type="gramStart"/>
            <w:r>
              <w:t>Park:_</w:t>
            </w:r>
            <w:proofErr w:type="gramEnd"/>
            <w:r>
              <w:t>__________________________________________________</w:t>
            </w:r>
          </w:p>
        </w:tc>
        <w:tc>
          <w:tcPr>
            <w:tcW w:w="5395" w:type="dxa"/>
          </w:tcPr>
          <w:p w14:paraId="4FC8FF61" w14:textId="77777777" w:rsidR="00B56A19" w:rsidRDefault="00B56A19" w:rsidP="00484CB0">
            <w:r>
              <w:t>Date: ______________</w:t>
            </w:r>
          </w:p>
        </w:tc>
      </w:tr>
      <w:tr w:rsidR="00B56A19" w14:paraId="04DB45B4" w14:textId="77777777" w:rsidTr="00484CB0">
        <w:tc>
          <w:tcPr>
            <w:tcW w:w="5395" w:type="dxa"/>
          </w:tcPr>
          <w:p w14:paraId="4FB6A297" w14:textId="77777777" w:rsidR="00B56A19" w:rsidRDefault="00B56A19" w:rsidP="00484CB0"/>
        </w:tc>
        <w:tc>
          <w:tcPr>
            <w:tcW w:w="5395" w:type="dxa"/>
          </w:tcPr>
          <w:p w14:paraId="2C8852BF" w14:textId="77777777" w:rsidR="00B56A19" w:rsidRDefault="00B56A19" w:rsidP="00484CB0"/>
        </w:tc>
      </w:tr>
    </w:tbl>
    <w:p w14:paraId="6B0DB579" w14:textId="77777777" w:rsidR="00B56A19" w:rsidRDefault="00B56A19" w:rsidP="00B56A19">
      <w:r>
        <w:t xml:space="preserve">Please </w:t>
      </w:r>
      <w:r w:rsidRPr="008D0678">
        <w:rPr>
          <w:b/>
          <w:bCs/>
        </w:rPr>
        <w:t>PRINT</w:t>
      </w:r>
    </w:p>
    <w:tbl>
      <w:tblPr>
        <w:tblStyle w:val="TableGrid"/>
        <w:tblpPr w:leftFromText="180" w:rightFromText="180" w:vertAnchor="text" w:horzAnchor="margin" w:tblpXSpec="right" w:tblpY="235"/>
        <w:tblW w:w="936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CellMar>
          <w:left w:w="115" w:type="dxa"/>
          <w:right w:w="115" w:type="dxa"/>
        </w:tblCellMar>
        <w:tblLook w:val="01E0" w:firstRow="1" w:lastRow="1" w:firstColumn="1" w:lastColumn="1" w:noHBand="0" w:noVBand="0"/>
        <w:tblDescription w:val="Add Name, Title, Company, Phone and Fax numbers, and E-mail address in this table"/>
      </w:tblPr>
      <w:tblGrid>
        <w:gridCol w:w="4135"/>
        <w:gridCol w:w="2880"/>
        <w:gridCol w:w="2345"/>
      </w:tblGrid>
      <w:tr w:rsidR="00B56A19" w14:paraId="7EDF3D64" w14:textId="77777777" w:rsidTr="00B56A19">
        <w:trPr>
          <w:trHeight w:val="323"/>
          <w:tblHeader/>
        </w:trPr>
        <w:tc>
          <w:tcPr>
            <w:tcW w:w="4135" w:type="dxa"/>
            <w:shd w:val="clear" w:color="auto" w:fill="D9D9D9" w:themeFill="background1" w:themeFillShade="D9"/>
            <w:vAlign w:val="center"/>
          </w:tcPr>
          <w:p w14:paraId="07F7CDCF" w14:textId="77777777" w:rsidR="00B56A19" w:rsidRPr="00614BD7" w:rsidRDefault="00B56A19" w:rsidP="00B56A19">
            <w:pPr>
              <w:pStyle w:val="Heading2"/>
              <w:jc w:val="center"/>
              <w:outlineLvl w:val="1"/>
            </w:pPr>
            <w:r>
              <w:t>Name</w:t>
            </w:r>
          </w:p>
        </w:tc>
        <w:tc>
          <w:tcPr>
            <w:tcW w:w="2880" w:type="dxa"/>
            <w:shd w:val="clear" w:color="auto" w:fill="D9D9D9" w:themeFill="background1" w:themeFillShade="D9"/>
            <w:vAlign w:val="center"/>
          </w:tcPr>
          <w:p w14:paraId="489F3293" w14:textId="77777777" w:rsidR="00B56A19" w:rsidRPr="00614BD7" w:rsidRDefault="00B56A19" w:rsidP="00B56A19">
            <w:pPr>
              <w:pStyle w:val="Heading2"/>
              <w:jc w:val="center"/>
              <w:outlineLvl w:val="1"/>
            </w:pPr>
            <w:r>
              <w:t>Title</w:t>
            </w:r>
          </w:p>
        </w:tc>
        <w:tc>
          <w:tcPr>
            <w:tcW w:w="2345" w:type="dxa"/>
            <w:shd w:val="clear" w:color="auto" w:fill="D9D9D9" w:themeFill="background1" w:themeFillShade="D9"/>
            <w:vAlign w:val="center"/>
          </w:tcPr>
          <w:p w14:paraId="1E6409F8" w14:textId="77777777" w:rsidR="00B56A19" w:rsidRPr="00614BD7" w:rsidRDefault="00B56A19" w:rsidP="00B56A19">
            <w:pPr>
              <w:pStyle w:val="Heading2"/>
              <w:jc w:val="center"/>
              <w:outlineLvl w:val="1"/>
            </w:pPr>
            <w:r>
              <w:t>Date</w:t>
            </w:r>
          </w:p>
        </w:tc>
      </w:tr>
      <w:tr w:rsidR="00B56A19" w14:paraId="0B9573FF" w14:textId="77777777" w:rsidTr="00B56A19">
        <w:trPr>
          <w:trHeight w:hRule="exact" w:val="605"/>
        </w:trPr>
        <w:tc>
          <w:tcPr>
            <w:tcW w:w="4135" w:type="dxa"/>
            <w:vAlign w:val="center"/>
          </w:tcPr>
          <w:p w14:paraId="55431E69" w14:textId="77777777" w:rsidR="00B56A19" w:rsidRDefault="00B56A19" w:rsidP="00B56A19"/>
        </w:tc>
        <w:tc>
          <w:tcPr>
            <w:tcW w:w="2880" w:type="dxa"/>
            <w:vAlign w:val="center"/>
          </w:tcPr>
          <w:p w14:paraId="0AF2905E" w14:textId="77777777" w:rsidR="00B56A19" w:rsidRDefault="00B56A19" w:rsidP="00B56A19"/>
        </w:tc>
        <w:tc>
          <w:tcPr>
            <w:tcW w:w="2345" w:type="dxa"/>
            <w:vAlign w:val="center"/>
          </w:tcPr>
          <w:p w14:paraId="1699210C" w14:textId="77777777" w:rsidR="00B56A19" w:rsidRDefault="00B56A19" w:rsidP="00B56A19"/>
        </w:tc>
      </w:tr>
      <w:tr w:rsidR="00B56A19" w14:paraId="4238EDBD" w14:textId="77777777" w:rsidTr="00B56A19">
        <w:trPr>
          <w:trHeight w:hRule="exact" w:val="605"/>
        </w:trPr>
        <w:tc>
          <w:tcPr>
            <w:tcW w:w="4135" w:type="dxa"/>
            <w:vAlign w:val="center"/>
          </w:tcPr>
          <w:p w14:paraId="7F8FBEAC" w14:textId="77777777" w:rsidR="00B56A19" w:rsidRDefault="00B56A19" w:rsidP="00B56A19"/>
        </w:tc>
        <w:tc>
          <w:tcPr>
            <w:tcW w:w="2880" w:type="dxa"/>
            <w:vAlign w:val="center"/>
          </w:tcPr>
          <w:p w14:paraId="4892BFCC" w14:textId="77777777" w:rsidR="00B56A19" w:rsidRDefault="00B56A19" w:rsidP="00B56A19"/>
        </w:tc>
        <w:tc>
          <w:tcPr>
            <w:tcW w:w="2345" w:type="dxa"/>
            <w:vAlign w:val="center"/>
          </w:tcPr>
          <w:p w14:paraId="40D4E3EE" w14:textId="77777777" w:rsidR="00B56A19" w:rsidRDefault="00B56A19" w:rsidP="00B56A19"/>
        </w:tc>
      </w:tr>
      <w:tr w:rsidR="00B56A19" w14:paraId="365D2DD9" w14:textId="77777777" w:rsidTr="00B56A19">
        <w:trPr>
          <w:trHeight w:hRule="exact" w:val="605"/>
        </w:trPr>
        <w:tc>
          <w:tcPr>
            <w:tcW w:w="4135" w:type="dxa"/>
            <w:vAlign w:val="center"/>
          </w:tcPr>
          <w:p w14:paraId="1D05420E" w14:textId="77777777" w:rsidR="00B56A19" w:rsidRDefault="00B56A19" w:rsidP="00B56A19"/>
        </w:tc>
        <w:tc>
          <w:tcPr>
            <w:tcW w:w="2880" w:type="dxa"/>
            <w:vAlign w:val="center"/>
          </w:tcPr>
          <w:p w14:paraId="6DC3D71E" w14:textId="77777777" w:rsidR="00B56A19" w:rsidRDefault="00B56A19" w:rsidP="00B56A19"/>
        </w:tc>
        <w:tc>
          <w:tcPr>
            <w:tcW w:w="2345" w:type="dxa"/>
            <w:vAlign w:val="center"/>
          </w:tcPr>
          <w:p w14:paraId="0D209768" w14:textId="77777777" w:rsidR="00B56A19" w:rsidRDefault="00B56A19" w:rsidP="00B56A19"/>
        </w:tc>
      </w:tr>
      <w:tr w:rsidR="00B56A19" w14:paraId="25A125D0" w14:textId="77777777" w:rsidTr="00B56A19">
        <w:trPr>
          <w:trHeight w:hRule="exact" w:val="605"/>
        </w:trPr>
        <w:tc>
          <w:tcPr>
            <w:tcW w:w="4135" w:type="dxa"/>
            <w:vAlign w:val="center"/>
          </w:tcPr>
          <w:p w14:paraId="2FB4B919" w14:textId="77777777" w:rsidR="00B56A19" w:rsidRDefault="00B56A19" w:rsidP="00B56A19"/>
        </w:tc>
        <w:tc>
          <w:tcPr>
            <w:tcW w:w="2880" w:type="dxa"/>
            <w:vAlign w:val="center"/>
          </w:tcPr>
          <w:p w14:paraId="432DB0B3" w14:textId="77777777" w:rsidR="00B56A19" w:rsidRDefault="00B56A19" w:rsidP="00B56A19"/>
        </w:tc>
        <w:tc>
          <w:tcPr>
            <w:tcW w:w="2345" w:type="dxa"/>
            <w:vAlign w:val="center"/>
          </w:tcPr>
          <w:p w14:paraId="4AE09AD8" w14:textId="77777777" w:rsidR="00B56A19" w:rsidRDefault="00B56A19" w:rsidP="00B56A19"/>
        </w:tc>
      </w:tr>
      <w:tr w:rsidR="00B56A19" w14:paraId="7C9B280D" w14:textId="77777777" w:rsidTr="00B56A19">
        <w:trPr>
          <w:trHeight w:hRule="exact" w:val="605"/>
        </w:trPr>
        <w:tc>
          <w:tcPr>
            <w:tcW w:w="4135" w:type="dxa"/>
            <w:vAlign w:val="center"/>
          </w:tcPr>
          <w:p w14:paraId="32347222" w14:textId="77777777" w:rsidR="00B56A19" w:rsidRDefault="00B56A19" w:rsidP="00B56A19"/>
        </w:tc>
        <w:tc>
          <w:tcPr>
            <w:tcW w:w="2880" w:type="dxa"/>
            <w:vAlign w:val="center"/>
          </w:tcPr>
          <w:p w14:paraId="210B4677" w14:textId="77777777" w:rsidR="00B56A19" w:rsidRDefault="00B56A19" w:rsidP="00B56A19"/>
        </w:tc>
        <w:tc>
          <w:tcPr>
            <w:tcW w:w="2345" w:type="dxa"/>
            <w:vAlign w:val="center"/>
          </w:tcPr>
          <w:p w14:paraId="489AFAFA" w14:textId="77777777" w:rsidR="00B56A19" w:rsidRDefault="00B56A19" w:rsidP="00B56A19"/>
        </w:tc>
      </w:tr>
      <w:tr w:rsidR="00B56A19" w14:paraId="01570006" w14:textId="77777777" w:rsidTr="00B56A19">
        <w:trPr>
          <w:trHeight w:hRule="exact" w:val="605"/>
        </w:trPr>
        <w:tc>
          <w:tcPr>
            <w:tcW w:w="4135" w:type="dxa"/>
            <w:vAlign w:val="center"/>
          </w:tcPr>
          <w:p w14:paraId="675C75C1" w14:textId="77777777" w:rsidR="00B56A19" w:rsidRDefault="00B56A19" w:rsidP="00B56A19"/>
        </w:tc>
        <w:tc>
          <w:tcPr>
            <w:tcW w:w="2880" w:type="dxa"/>
            <w:vAlign w:val="center"/>
          </w:tcPr>
          <w:p w14:paraId="611E50D7" w14:textId="77777777" w:rsidR="00B56A19" w:rsidRDefault="00B56A19" w:rsidP="00B56A19"/>
        </w:tc>
        <w:tc>
          <w:tcPr>
            <w:tcW w:w="2345" w:type="dxa"/>
            <w:vAlign w:val="center"/>
          </w:tcPr>
          <w:p w14:paraId="63103F3D" w14:textId="77777777" w:rsidR="00B56A19" w:rsidRDefault="00B56A19" w:rsidP="00B56A19"/>
        </w:tc>
      </w:tr>
    </w:tbl>
    <w:p w14:paraId="01A89923" w14:textId="77777777" w:rsidR="00B56A19" w:rsidRDefault="00B56A19" w:rsidP="00B56A19"/>
    <w:p w14:paraId="3C07749C" w14:textId="77777777" w:rsidR="00B56A19" w:rsidRPr="00F64AAC" w:rsidRDefault="00B56A19" w:rsidP="00F64AAC"/>
    <w:sectPr w:rsidR="00B56A19" w:rsidRPr="00F64AA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6C6590" w14:textId="77777777" w:rsidR="00AE1597" w:rsidRDefault="00AE1597" w:rsidP="00AE1597">
      <w:pPr>
        <w:spacing w:after="0" w:line="240" w:lineRule="auto"/>
      </w:pPr>
      <w:r>
        <w:separator/>
      </w:r>
    </w:p>
  </w:endnote>
  <w:endnote w:type="continuationSeparator" w:id="0">
    <w:p w14:paraId="7218FB87" w14:textId="77777777" w:rsidR="00AE1597" w:rsidRDefault="00AE1597" w:rsidP="00AE1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11600C" w14:textId="77777777" w:rsidR="00AE1597" w:rsidRDefault="00AE1597" w:rsidP="00AE1597">
      <w:pPr>
        <w:spacing w:after="0" w:line="240" w:lineRule="auto"/>
      </w:pPr>
      <w:r>
        <w:separator/>
      </w:r>
    </w:p>
  </w:footnote>
  <w:footnote w:type="continuationSeparator" w:id="0">
    <w:p w14:paraId="072DEB21" w14:textId="77777777" w:rsidR="00AE1597" w:rsidRDefault="00AE1597" w:rsidP="00AE1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96EAB" w14:textId="77777777" w:rsidR="00B56A19" w:rsidRPr="00B56A19" w:rsidRDefault="00AE1597" w:rsidP="00B56A19">
    <w:pPr>
      <w:pStyle w:val="NormalWeb"/>
      <w:spacing w:before="0" w:beforeAutospacing="0" w:after="0" w:afterAutospacing="0"/>
      <w:rPr>
        <w:color w:val="000000" w:themeColor="text1"/>
      </w:rPr>
    </w:pPr>
    <w:r w:rsidRPr="00B56A19">
      <w:rPr>
        <w:noProof/>
        <w:color w:val="000000" w:themeColor="text1"/>
      </w:rPr>
      <w:drawing>
        <wp:anchor distT="0" distB="0" distL="114300" distR="114300" simplePos="0" relativeHeight="251658240" behindDoc="0" locked="0" layoutInCell="1" allowOverlap="1" wp14:anchorId="1C9AC84D" wp14:editId="7902E90B">
          <wp:simplePos x="0" y="0"/>
          <wp:positionH relativeFrom="column">
            <wp:posOffset>0</wp:posOffset>
          </wp:positionH>
          <wp:positionV relativeFrom="paragraph">
            <wp:posOffset>0</wp:posOffset>
          </wp:positionV>
          <wp:extent cx="762000" cy="1029165"/>
          <wp:effectExtent l="0" t="0" r="0" b="0"/>
          <wp:wrapThrough wrapText="bothSides">
            <wp:wrapPolygon edited="0">
              <wp:start x="0" y="0"/>
              <wp:lineTo x="0" y="11200"/>
              <wp:lineTo x="1080" y="12800"/>
              <wp:lineTo x="15120" y="21200"/>
              <wp:lineTo x="17820" y="21200"/>
              <wp:lineTo x="18360" y="21200"/>
              <wp:lineTo x="21060" y="18000"/>
              <wp:lineTo x="21060" y="0"/>
              <wp:lineTo x="0" y="0"/>
            </wp:wrapPolygon>
          </wp:wrapThrough>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VParks.png"/>
                  <pic:cNvPicPr/>
                </pic:nvPicPr>
                <pic:blipFill>
                  <a:blip r:embed="rId1">
                    <a:extLst>
                      <a:ext uri="{28A0092B-C50C-407E-A947-70E740481C1C}">
                        <a14:useLocalDpi xmlns:a14="http://schemas.microsoft.com/office/drawing/2010/main" val="0"/>
                      </a:ext>
                    </a:extLst>
                  </a:blip>
                  <a:stretch>
                    <a:fillRect/>
                  </a:stretch>
                </pic:blipFill>
                <pic:spPr>
                  <a:xfrm>
                    <a:off x="0" y="0"/>
                    <a:ext cx="762000" cy="1029165"/>
                  </a:xfrm>
                  <a:prstGeom prst="rect">
                    <a:avLst/>
                  </a:prstGeom>
                </pic:spPr>
              </pic:pic>
            </a:graphicData>
          </a:graphic>
          <wp14:sizeRelH relativeFrom="page">
            <wp14:pctWidth>0</wp14:pctWidth>
          </wp14:sizeRelH>
          <wp14:sizeRelV relativeFrom="page">
            <wp14:pctHeight>0</wp14:pctHeight>
          </wp14:sizeRelV>
        </wp:anchor>
      </w:drawing>
    </w:r>
    <w:r w:rsidR="00B56A19" w:rsidRPr="00B56A19">
      <w:rPr>
        <w:rFonts w:ascii="Arial" w:eastAsia="Arial" w:hAnsi="Arial" w:cs="Arial"/>
        <w:color w:val="000000" w:themeColor="text1"/>
        <w:sz w:val="28"/>
        <w:szCs w:val="28"/>
      </w:rPr>
      <w:t xml:space="preserve"> </w:t>
    </w:r>
  </w:p>
  <w:p w14:paraId="0F176181" w14:textId="77777777" w:rsidR="00B56A19" w:rsidRPr="00B56A19" w:rsidRDefault="00B56A19" w:rsidP="00B56A19">
    <w:pPr>
      <w:pStyle w:val="NormalWeb"/>
      <w:spacing w:before="0" w:beforeAutospacing="0" w:after="0" w:afterAutospacing="0"/>
      <w:jc w:val="right"/>
      <w:rPr>
        <w:color w:val="000000" w:themeColor="text1"/>
      </w:rPr>
    </w:pPr>
    <w:r w:rsidRPr="00B56A19">
      <w:rPr>
        <w:rFonts w:ascii="Arial" w:eastAsia="Arial" w:hAnsi="Arial" w:cs="Arial"/>
        <w:color w:val="000000" w:themeColor="text1"/>
      </w:rPr>
      <w:t>Vanessa Mason</w:t>
    </w:r>
  </w:p>
  <w:p w14:paraId="0F043B01" w14:textId="77777777" w:rsidR="00B56A19" w:rsidRPr="00B56A19" w:rsidRDefault="00B56A19" w:rsidP="00B56A19">
    <w:pPr>
      <w:pStyle w:val="NormalWeb"/>
      <w:spacing w:before="0" w:beforeAutospacing="0" w:after="0" w:afterAutospacing="0"/>
      <w:jc w:val="right"/>
      <w:rPr>
        <w:rFonts w:ascii="Arial" w:eastAsia="Arial" w:hAnsi="Arial" w:cs="Arial"/>
        <w:color w:val="000000" w:themeColor="text1"/>
      </w:rPr>
    </w:pPr>
    <w:r w:rsidRPr="00B56A19">
      <w:rPr>
        <w:rFonts w:ascii="Arial" w:eastAsia="Arial" w:hAnsi="Arial" w:cs="Arial"/>
        <w:color w:val="000000" w:themeColor="text1"/>
      </w:rPr>
      <w:t xml:space="preserve">State of Nevada </w:t>
    </w:r>
  </w:p>
  <w:p w14:paraId="30583E20" w14:textId="77777777" w:rsidR="00B56A19" w:rsidRPr="00B56A19" w:rsidRDefault="00B56A19" w:rsidP="00B56A19">
    <w:pPr>
      <w:pStyle w:val="NormalWeb"/>
      <w:spacing w:before="0" w:beforeAutospacing="0" w:after="0" w:afterAutospacing="0"/>
      <w:jc w:val="right"/>
      <w:rPr>
        <w:color w:val="000000" w:themeColor="text1"/>
      </w:rPr>
    </w:pPr>
    <w:r w:rsidRPr="00B56A19">
      <w:rPr>
        <w:rFonts w:ascii="Arial" w:eastAsia="Arial" w:hAnsi="Arial" w:cs="Arial"/>
        <w:color w:val="000000" w:themeColor="text1"/>
      </w:rPr>
      <w:t>Division of State Parks</w:t>
    </w:r>
  </w:p>
  <w:p w14:paraId="44542445" w14:textId="77777777" w:rsidR="00B56A19" w:rsidRPr="00B56A19" w:rsidRDefault="00B56A19" w:rsidP="00B56A19">
    <w:pPr>
      <w:pStyle w:val="NormalWeb"/>
      <w:spacing w:before="0" w:beforeAutospacing="0" w:after="0" w:afterAutospacing="0"/>
      <w:jc w:val="right"/>
      <w:rPr>
        <w:color w:val="000000" w:themeColor="text1"/>
      </w:rPr>
    </w:pPr>
    <w:r w:rsidRPr="00B56A19">
      <w:rPr>
        <w:rFonts w:ascii="Arial" w:eastAsia="Arial" w:hAnsi="Arial" w:cs="Arial"/>
        <w:color w:val="000000" w:themeColor="text1"/>
      </w:rPr>
      <w:t>Office - 775-684-2797</w:t>
    </w:r>
  </w:p>
  <w:p w14:paraId="6B005251" w14:textId="77777777" w:rsidR="00AE1597" w:rsidRDefault="00B56A19" w:rsidP="00B56A19">
    <w:pPr>
      <w:pStyle w:val="NormalWeb"/>
      <w:spacing w:before="0" w:beforeAutospacing="0" w:after="0" w:afterAutospacing="0"/>
      <w:jc w:val="right"/>
    </w:pPr>
    <w:r w:rsidRPr="00B56A19">
      <w:rPr>
        <w:rFonts w:ascii="Arial" w:eastAsia="Arial" w:hAnsi="Arial" w:cs="Arial"/>
        <w:color w:val="000000" w:themeColor="text1"/>
      </w:rPr>
      <w:t>vanessalmason@parks.nv.gov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B14206"/>
    <w:multiLevelType w:val="multilevel"/>
    <w:tmpl w:val="31D08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AD908CC"/>
    <w:multiLevelType w:val="multilevel"/>
    <w:tmpl w:val="76F042B0"/>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2" w15:restartNumberingAfterBreak="0">
    <w:nsid w:val="5B330A11"/>
    <w:multiLevelType w:val="hybridMultilevel"/>
    <w:tmpl w:val="AA005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5E4EA9"/>
    <w:multiLevelType w:val="multilevel"/>
    <w:tmpl w:val="F66E5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D585508"/>
    <w:multiLevelType w:val="hybridMultilevel"/>
    <w:tmpl w:val="F670B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0A0D51"/>
    <w:multiLevelType w:val="hybridMultilevel"/>
    <w:tmpl w:val="13F06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xNbMwMzE3MjA3NrVU0lEKTi0uzszPAykwrAUAVT2C+ywAAAA="/>
  </w:docVars>
  <w:rsids>
    <w:rsidRoot w:val="000B0208"/>
    <w:rsid w:val="000B0208"/>
    <w:rsid w:val="00102D87"/>
    <w:rsid w:val="00916744"/>
    <w:rsid w:val="00981FA1"/>
    <w:rsid w:val="00AE1597"/>
    <w:rsid w:val="00B56A19"/>
    <w:rsid w:val="00D12A86"/>
    <w:rsid w:val="00EA526C"/>
    <w:rsid w:val="00F64AAC"/>
    <w:rsid w:val="00F93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817612"/>
  <w15:chartTrackingRefBased/>
  <w15:docId w15:val="{83B03C21-2AF6-45EA-B998-8B37E59D0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56A19"/>
    <w:pPr>
      <w:spacing w:after="0" w:line="240" w:lineRule="auto"/>
      <w:outlineLvl w:val="0"/>
    </w:pPr>
    <w:rPr>
      <w:rFonts w:asciiTheme="majorHAnsi" w:eastAsia="Batang" w:hAnsiTheme="majorHAnsi" w:cs="Tahoma"/>
      <w:b/>
      <w:smallCaps/>
      <w:sz w:val="32"/>
      <w:szCs w:val="32"/>
    </w:rPr>
  </w:style>
  <w:style w:type="paragraph" w:styleId="Heading2">
    <w:name w:val="heading 2"/>
    <w:basedOn w:val="Normal"/>
    <w:next w:val="Normal"/>
    <w:link w:val="Heading2Char"/>
    <w:qFormat/>
    <w:rsid w:val="00B56A19"/>
    <w:pPr>
      <w:spacing w:after="0" w:line="240" w:lineRule="auto"/>
      <w:outlineLvl w:val="1"/>
    </w:pPr>
    <w:rPr>
      <w:rFonts w:asciiTheme="majorHAnsi" w:eastAsia="Batang" w:hAnsiTheme="majorHAnsi" w:cs="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4AAC"/>
    <w:rPr>
      <w:color w:val="0563C1" w:themeColor="hyperlink"/>
      <w:u w:val="single"/>
    </w:rPr>
  </w:style>
  <w:style w:type="paragraph" w:styleId="ListParagraph">
    <w:name w:val="List Paragraph"/>
    <w:basedOn w:val="Normal"/>
    <w:uiPriority w:val="34"/>
    <w:qFormat/>
    <w:rsid w:val="00F64AAC"/>
    <w:pPr>
      <w:ind w:left="720"/>
      <w:contextualSpacing/>
    </w:pPr>
  </w:style>
  <w:style w:type="paragraph" w:styleId="Header">
    <w:name w:val="header"/>
    <w:basedOn w:val="Normal"/>
    <w:link w:val="HeaderChar"/>
    <w:uiPriority w:val="99"/>
    <w:unhideWhenUsed/>
    <w:rsid w:val="00AE15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597"/>
  </w:style>
  <w:style w:type="paragraph" w:styleId="Footer">
    <w:name w:val="footer"/>
    <w:basedOn w:val="Normal"/>
    <w:link w:val="FooterChar"/>
    <w:uiPriority w:val="99"/>
    <w:unhideWhenUsed/>
    <w:rsid w:val="00AE1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597"/>
  </w:style>
  <w:style w:type="paragraph" w:styleId="NormalWeb">
    <w:name w:val="Normal (Web)"/>
    <w:basedOn w:val="Normal"/>
    <w:uiPriority w:val="99"/>
    <w:unhideWhenUsed/>
    <w:rsid w:val="00B56A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B56A19"/>
    <w:rPr>
      <w:rFonts w:asciiTheme="majorHAnsi" w:eastAsia="Batang" w:hAnsiTheme="majorHAnsi" w:cs="Tahoma"/>
      <w:b/>
      <w:smallCaps/>
      <w:sz w:val="32"/>
      <w:szCs w:val="32"/>
    </w:rPr>
  </w:style>
  <w:style w:type="character" w:customStyle="1" w:styleId="Heading2Char">
    <w:name w:val="Heading 2 Char"/>
    <w:basedOn w:val="DefaultParagraphFont"/>
    <w:link w:val="Heading2"/>
    <w:rsid w:val="00B56A19"/>
    <w:rPr>
      <w:rFonts w:asciiTheme="majorHAnsi" w:eastAsia="Batang" w:hAnsiTheme="majorHAnsi" w:cs="Tahoma"/>
      <w:b/>
    </w:rPr>
  </w:style>
  <w:style w:type="table" w:styleId="TableGrid">
    <w:name w:val="Table Grid"/>
    <w:basedOn w:val="TableNormal"/>
    <w:rsid w:val="00B56A19"/>
    <w:pPr>
      <w:spacing w:after="0" w:line="240" w:lineRule="auto"/>
    </w:pPr>
    <w:rPr>
      <w:rFonts w:ascii="Tahoma" w:eastAsia="Batang" w:hAnsi="Tahoma" w:cs="Times New Roman"/>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rsid w:val="00B56A19"/>
    <w:pPr>
      <w:spacing w:after="0" w:line="240" w:lineRule="auto"/>
    </w:pPr>
    <w:rPr>
      <w:rFonts w:eastAsia="Batang" w:cs="Times New Roman"/>
    </w:rPr>
    <w:tblPr>
      <w:tblBorders>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152865">
      <w:bodyDiv w:val="1"/>
      <w:marLeft w:val="0"/>
      <w:marRight w:val="0"/>
      <w:marTop w:val="0"/>
      <w:marBottom w:val="0"/>
      <w:divBdr>
        <w:top w:val="none" w:sz="0" w:space="0" w:color="auto"/>
        <w:left w:val="none" w:sz="0" w:space="0" w:color="auto"/>
        <w:bottom w:val="none" w:sz="0" w:space="0" w:color="auto"/>
        <w:right w:val="none" w:sz="0" w:space="0" w:color="auto"/>
      </w:divBdr>
    </w:div>
    <w:div w:id="102590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a.com/online-sd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C561D-9411-4B54-936A-6C3235C91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DCNR</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L. Mason</dc:creator>
  <cp:keywords/>
  <dc:description/>
  <cp:lastModifiedBy>Vanessa L. Mason</cp:lastModifiedBy>
  <cp:revision>2</cp:revision>
  <dcterms:created xsi:type="dcterms:W3CDTF">2021-08-03T16:07:00Z</dcterms:created>
  <dcterms:modified xsi:type="dcterms:W3CDTF">2021-08-03T16:07:00Z</dcterms:modified>
</cp:coreProperties>
</file>