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9E196" w14:textId="77777777" w:rsidR="00B56A19" w:rsidRDefault="00B56A19" w:rsidP="00F64AAC">
      <w:pPr>
        <w:rPr>
          <w:b/>
          <w:bCs/>
          <w:sz w:val="24"/>
          <w:szCs w:val="24"/>
        </w:rPr>
      </w:pPr>
    </w:p>
    <w:p w14:paraId="3CE0081E" w14:textId="0C37DE44" w:rsidR="00B56A19" w:rsidRPr="007E69B3" w:rsidRDefault="005E4C2F" w:rsidP="007E69B3">
      <w:pPr>
        <w:spacing w:before="120" w:after="120" w:line="240" w:lineRule="auto"/>
        <w:jc w:val="center"/>
        <w:rPr>
          <w:rFonts w:cstheme="minorHAnsi"/>
          <w:b/>
          <w:bCs/>
          <w:sz w:val="28"/>
          <w:szCs w:val="28"/>
        </w:rPr>
      </w:pPr>
      <w:r>
        <w:rPr>
          <w:rFonts w:cstheme="minorHAnsi"/>
          <w:b/>
          <w:bCs/>
          <w:sz w:val="28"/>
          <w:szCs w:val="28"/>
        </w:rPr>
        <w:t>First-Aid Supplies Minimum Requirements</w:t>
      </w:r>
    </w:p>
    <w:p w14:paraId="1C9E1594" w14:textId="77777777" w:rsidR="005E4C2F" w:rsidRDefault="005E4C2F" w:rsidP="00B56A19">
      <w:pPr>
        <w:spacing w:before="120" w:after="120" w:line="240" w:lineRule="auto"/>
        <w:rPr>
          <w:rFonts w:cstheme="minorHAnsi"/>
          <w:b/>
          <w:bCs/>
          <w:sz w:val="24"/>
          <w:szCs w:val="24"/>
        </w:rPr>
      </w:pPr>
    </w:p>
    <w:p w14:paraId="519C9D62" w14:textId="0E02CDCE" w:rsidR="00D45D04" w:rsidRPr="007E69B3" w:rsidRDefault="00D45D04" w:rsidP="00B56A19">
      <w:pPr>
        <w:spacing w:before="120" w:after="120" w:line="240" w:lineRule="auto"/>
        <w:rPr>
          <w:rFonts w:cstheme="minorHAnsi"/>
          <w:b/>
          <w:bCs/>
          <w:sz w:val="24"/>
          <w:szCs w:val="24"/>
        </w:rPr>
      </w:pPr>
      <w:bookmarkStart w:id="0" w:name="_GoBack"/>
      <w:bookmarkEnd w:id="0"/>
      <w:r w:rsidRPr="007E69B3">
        <w:rPr>
          <w:rFonts w:cstheme="minorHAnsi"/>
          <w:b/>
          <w:bCs/>
          <w:sz w:val="24"/>
          <w:szCs w:val="24"/>
        </w:rPr>
        <w:t xml:space="preserve">OSHA </w:t>
      </w:r>
      <w:r w:rsidR="009D5AFC" w:rsidRPr="007E69B3">
        <w:rPr>
          <w:rFonts w:cstheme="minorHAnsi"/>
          <w:b/>
          <w:bCs/>
          <w:sz w:val="24"/>
          <w:szCs w:val="24"/>
        </w:rPr>
        <w:t>1926.50</w:t>
      </w:r>
      <w:r w:rsidRPr="007E69B3">
        <w:rPr>
          <w:rFonts w:cstheme="minorHAnsi"/>
          <w:b/>
          <w:bCs/>
          <w:sz w:val="24"/>
          <w:szCs w:val="24"/>
        </w:rPr>
        <w:t xml:space="preserve"> App A</w:t>
      </w:r>
    </w:p>
    <w:p w14:paraId="0C172646" w14:textId="77777777" w:rsidR="009D5AFC" w:rsidRPr="007E69B3" w:rsidRDefault="009D5AFC" w:rsidP="009D5AFC">
      <w:pPr>
        <w:pStyle w:val="NormalWeb"/>
        <w:shd w:val="clear" w:color="auto" w:fill="FFFFFF"/>
        <w:spacing w:before="0" w:beforeAutospacing="0" w:after="150" w:afterAutospacing="0"/>
        <w:rPr>
          <w:rFonts w:asciiTheme="minorHAnsi" w:hAnsiTheme="minorHAnsi" w:cstheme="minorHAnsi"/>
          <w:color w:val="333333"/>
        </w:rPr>
      </w:pPr>
      <w:r w:rsidRPr="007E69B3">
        <w:rPr>
          <w:rFonts w:asciiTheme="minorHAnsi" w:hAnsiTheme="minorHAnsi" w:cstheme="minorHAnsi"/>
          <w:color w:val="333333"/>
        </w:rPr>
        <w:t>First aid supplies are required to be easily accessible under paragraph Sec. 1926.50(d)(1). An example of the minimal contents of a generic first aid kit is described in American National Standard (ANSI) Z308.1-1978 "Minimum Requirements for Industrial Unit-Type First-aid Kits". The contents of the kit listed in the ANSI standard should be adequate for small work sites. When larger operations or multiple operations are being conducted at the same location, employers should determine the need for additional first aid kits at the worksite, additional types of first aid equipment and supplies and additional quantities and types of supplies and equipment in the first aid kits.</w:t>
      </w:r>
    </w:p>
    <w:p w14:paraId="50815E13" w14:textId="77777777" w:rsidR="005E4C2F" w:rsidRDefault="005E4C2F" w:rsidP="007E69B3">
      <w:pPr>
        <w:spacing w:after="200" w:line="276" w:lineRule="auto"/>
        <w:outlineLvl w:val="0"/>
        <w:rPr>
          <w:rFonts w:eastAsia="Calibri" w:cstheme="minorHAnsi"/>
          <w:b/>
          <w:bCs/>
          <w:sz w:val="24"/>
          <w:szCs w:val="24"/>
        </w:rPr>
      </w:pPr>
    </w:p>
    <w:p w14:paraId="1284D286" w14:textId="565686E2" w:rsidR="007E69B3" w:rsidRPr="007E69B3" w:rsidRDefault="007E69B3" w:rsidP="007E69B3">
      <w:pPr>
        <w:spacing w:after="200" w:line="276" w:lineRule="auto"/>
        <w:outlineLvl w:val="0"/>
        <w:rPr>
          <w:rFonts w:eastAsia="Calibri" w:cstheme="minorHAnsi"/>
          <w:b/>
          <w:bCs/>
          <w:sz w:val="24"/>
          <w:szCs w:val="24"/>
        </w:rPr>
      </w:pPr>
      <w:r w:rsidRPr="007E69B3">
        <w:rPr>
          <w:rFonts w:eastAsia="Calibri" w:cstheme="minorHAnsi"/>
          <w:b/>
          <w:bCs/>
          <w:sz w:val="24"/>
          <w:szCs w:val="24"/>
        </w:rPr>
        <w:t>ANSI Z308.1-1998 – Minimum requirements for workplace first aid kits</w:t>
      </w:r>
    </w:p>
    <w:p w14:paraId="0C8D262A" w14:textId="77777777" w:rsidR="007E69B3" w:rsidRPr="007E69B3" w:rsidRDefault="007E69B3" w:rsidP="007E69B3">
      <w:pPr>
        <w:spacing w:after="200" w:line="276" w:lineRule="auto"/>
        <w:outlineLvl w:val="1"/>
        <w:rPr>
          <w:rFonts w:eastAsia="Calibri" w:cstheme="minorHAnsi"/>
          <w:sz w:val="24"/>
          <w:szCs w:val="24"/>
        </w:rPr>
      </w:pPr>
      <w:r w:rsidRPr="007E69B3">
        <w:rPr>
          <w:rFonts w:eastAsia="Calibri" w:cstheme="minorHAnsi"/>
          <w:sz w:val="24"/>
          <w:szCs w:val="24"/>
        </w:rPr>
        <w:t>Basic kit – minimum contents</w:t>
      </w:r>
    </w:p>
    <w:tbl>
      <w:tblPr>
        <w:tblStyle w:val="TableGrid"/>
        <w:tblW w:w="0" w:type="auto"/>
        <w:tblLook w:val="04A0" w:firstRow="1" w:lastRow="0" w:firstColumn="1" w:lastColumn="0" w:noHBand="0" w:noVBand="1"/>
      </w:tblPr>
      <w:tblGrid>
        <w:gridCol w:w="6205"/>
        <w:gridCol w:w="4585"/>
      </w:tblGrid>
      <w:tr w:rsidR="00D45D04" w:rsidRPr="007E69B3" w14:paraId="54427A46" w14:textId="77777777" w:rsidTr="007E69B3">
        <w:tc>
          <w:tcPr>
            <w:tcW w:w="6205" w:type="dxa"/>
          </w:tcPr>
          <w:p w14:paraId="62490DF2" w14:textId="01F45442" w:rsidR="00D45D04" w:rsidRPr="007E69B3" w:rsidRDefault="007E69B3" w:rsidP="007E69B3">
            <w:pPr>
              <w:spacing w:before="120" w:after="120"/>
              <w:jc w:val="center"/>
              <w:rPr>
                <w:rFonts w:asciiTheme="minorHAnsi" w:hAnsiTheme="minorHAnsi" w:cstheme="minorHAnsi"/>
                <w:b/>
                <w:bCs/>
                <w:sz w:val="24"/>
                <w:szCs w:val="24"/>
              </w:rPr>
            </w:pPr>
            <w:r w:rsidRPr="007E69B3">
              <w:rPr>
                <w:rFonts w:asciiTheme="minorHAnsi" w:hAnsiTheme="minorHAnsi" w:cstheme="minorHAnsi"/>
                <w:b/>
                <w:bCs/>
                <w:sz w:val="24"/>
                <w:szCs w:val="24"/>
              </w:rPr>
              <w:t>Item</w:t>
            </w:r>
          </w:p>
        </w:tc>
        <w:tc>
          <w:tcPr>
            <w:tcW w:w="4585" w:type="dxa"/>
          </w:tcPr>
          <w:p w14:paraId="3CD1B611" w14:textId="7FCD3921" w:rsidR="00D45D04" w:rsidRPr="007E69B3" w:rsidRDefault="007E69B3" w:rsidP="007E69B3">
            <w:pPr>
              <w:spacing w:before="120" w:after="120"/>
              <w:jc w:val="center"/>
              <w:rPr>
                <w:rFonts w:asciiTheme="minorHAnsi" w:hAnsiTheme="minorHAnsi" w:cstheme="minorHAnsi"/>
                <w:b/>
                <w:bCs/>
                <w:sz w:val="24"/>
                <w:szCs w:val="24"/>
              </w:rPr>
            </w:pPr>
            <w:r w:rsidRPr="007E69B3">
              <w:rPr>
                <w:rFonts w:asciiTheme="minorHAnsi" w:hAnsiTheme="minorHAnsi" w:cstheme="minorHAnsi"/>
                <w:b/>
                <w:bCs/>
                <w:color w:val="333333"/>
                <w:sz w:val="24"/>
                <w:szCs w:val="24"/>
              </w:rPr>
              <w:t>Minimum quantity</w:t>
            </w:r>
          </w:p>
        </w:tc>
      </w:tr>
      <w:tr w:rsidR="007E69B3" w:rsidRPr="007E69B3" w14:paraId="2CBF623B" w14:textId="77777777" w:rsidTr="007E69B3">
        <w:tc>
          <w:tcPr>
            <w:tcW w:w="6205" w:type="dxa"/>
          </w:tcPr>
          <w:p w14:paraId="168521BF" w14:textId="7D8B1318"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Absorbent compress, 32 sq. in. (81.3 sq. cm.) with</w:t>
            </w:r>
          </w:p>
        </w:tc>
        <w:tc>
          <w:tcPr>
            <w:tcW w:w="4585" w:type="dxa"/>
          </w:tcPr>
          <w:p w14:paraId="1559AFF1" w14:textId="5B68841E" w:rsidR="007E69B3" w:rsidRPr="007E69B3" w:rsidRDefault="007E69B3" w:rsidP="007E69B3">
            <w:pPr>
              <w:spacing w:before="120" w:after="120"/>
              <w:rPr>
                <w:rFonts w:asciiTheme="minorHAnsi" w:hAnsiTheme="minorHAnsi" w:cstheme="minorHAnsi"/>
                <w:sz w:val="24"/>
                <w:szCs w:val="24"/>
              </w:rPr>
            </w:pPr>
          </w:p>
        </w:tc>
      </w:tr>
      <w:tr w:rsidR="007E69B3" w:rsidRPr="007E69B3" w14:paraId="329253FF" w14:textId="77777777" w:rsidTr="007E69B3">
        <w:tc>
          <w:tcPr>
            <w:tcW w:w="6205" w:type="dxa"/>
          </w:tcPr>
          <w:p w14:paraId="35DB5972" w14:textId="53A14B3D"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 xml:space="preserve">no side smaller than 4 in. (10 cm) </w:t>
            </w:r>
          </w:p>
        </w:tc>
        <w:tc>
          <w:tcPr>
            <w:tcW w:w="4585" w:type="dxa"/>
          </w:tcPr>
          <w:p w14:paraId="45283552" w14:textId="69A41074"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1</w:t>
            </w:r>
          </w:p>
        </w:tc>
      </w:tr>
      <w:tr w:rsidR="007E69B3" w:rsidRPr="007E69B3" w14:paraId="371F988F" w14:textId="77777777" w:rsidTr="007E69B3">
        <w:tc>
          <w:tcPr>
            <w:tcW w:w="6205" w:type="dxa"/>
          </w:tcPr>
          <w:p w14:paraId="04870402" w14:textId="56181F4F"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Adhesive bandages, 1 in. x 3 in. (2.5 cm x 7.5 cm)</w:t>
            </w:r>
          </w:p>
        </w:tc>
        <w:tc>
          <w:tcPr>
            <w:tcW w:w="4585" w:type="dxa"/>
          </w:tcPr>
          <w:p w14:paraId="32AD22DF" w14:textId="29C9FBBE"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16</w:t>
            </w:r>
          </w:p>
        </w:tc>
      </w:tr>
      <w:tr w:rsidR="007E69B3" w:rsidRPr="007E69B3" w14:paraId="0D7A793A" w14:textId="77777777" w:rsidTr="007E69B3">
        <w:tc>
          <w:tcPr>
            <w:tcW w:w="6205" w:type="dxa"/>
          </w:tcPr>
          <w:p w14:paraId="15B81593" w14:textId="44CB63E4"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Adhesive tape, 5 yd. (457.2 cm) total</w:t>
            </w:r>
          </w:p>
        </w:tc>
        <w:tc>
          <w:tcPr>
            <w:tcW w:w="4585" w:type="dxa"/>
          </w:tcPr>
          <w:p w14:paraId="522C6DBB" w14:textId="7F5B3820"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1</w:t>
            </w:r>
          </w:p>
        </w:tc>
      </w:tr>
      <w:tr w:rsidR="007E69B3" w:rsidRPr="007E69B3" w14:paraId="658809AD" w14:textId="77777777" w:rsidTr="007E69B3">
        <w:tc>
          <w:tcPr>
            <w:tcW w:w="6205" w:type="dxa"/>
          </w:tcPr>
          <w:p w14:paraId="3D9FC1DA" w14:textId="69851BCF"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 xml:space="preserve">Antiseptic, 0.5g (0.14 </w:t>
            </w:r>
            <w:proofErr w:type="spellStart"/>
            <w:r w:rsidRPr="007E69B3">
              <w:rPr>
                <w:rFonts w:asciiTheme="minorHAnsi" w:hAnsiTheme="minorHAnsi" w:cstheme="minorHAnsi"/>
                <w:sz w:val="24"/>
                <w:szCs w:val="24"/>
              </w:rPr>
              <w:t>fl</w:t>
            </w:r>
            <w:proofErr w:type="spellEnd"/>
            <w:r w:rsidRPr="007E69B3">
              <w:rPr>
                <w:rFonts w:asciiTheme="minorHAnsi" w:hAnsiTheme="minorHAnsi" w:cstheme="minorHAnsi"/>
                <w:sz w:val="24"/>
                <w:szCs w:val="24"/>
              </w:rPr>
              <w:t xml:space="preserve"> oz.) applications</w:t>
            </w:r>
          </w:p>
        </w:tc>
        <w:tc>
          <w:tcPr>
            <w:tcW w:w="4585" w:type="dxa"/>
          </w:tcPr>
          <w:p w14:paraId="2E8954D4" w14:textId="428EF007"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10</w:t>
            </w:r>
          </w:p>
        </w:tc>
      </w:tr>
      <w:tr w:rsidR="007E69B3" w:rsidRPr="007E69B3" w14:paraId="1B6D9E90" w14:textId="77777777" w:rsidTr="007E69B3">
        <w:tc>
          <w:tcPr>
            <w:tcW w:w="6205" w:type="dxa"/>
          </w:tcPr>
          <w:p w14:paraId="0E46F032" w14:textId="009B090D"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Burn treatment, 0.5 g (0.14 fl. oz.) applications</w:t>
            </w:r>
          </w:p>
        </w:tc>
        <w:tc>
          <w:tcPr>
            <w:tcW w:w="4585" w:type="dxa"/>
          </w:tcPr>
          <w:p w14:paraId="2EE828AF" w14:textId="3F47D948"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6</w:t>
            </w:r>
          </w:p>
        </w:tc>
      </w:tr>
      <w:tr w:rsidR="007E69B3" w:rsidRPr="007E69B3" w14:paraId="68443482" w14:textId="77777777" w:rsidTr="007E69B3">
        <w:tc>
          <w:tcPr>
            <w:tcW w:w="6205" w:type="dxa"/>
          </w:tcPr>
          <w:p w14:paraId="178F2C23" w14:textId="426782E3"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Medical exam gloves</w:t>
            </w:r>
          </w:p>
        </w:tc>
        <w:tc>
          <w:tcPr>
            <w:tcW w:w="4585" w:type="dxa"/>
          </w:tcPr>
          <w:p w14:paraId="5768BDBF" w14:textId="7AF669A7"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2 pair</w:t>
            </w:r>
          </w:p>
        </w:tc>
      </w:tr>
      <w:tr w:rsidR="007E69B3" w:rsidRPr="007E69B3" w14:paraId="2CC9A836" w14:textId="77777777" w:rsidTr="007E69B3">
        <w:tc>
          <w:tcPr>
            <w:tcW w:w="6205" w:type="dxa"/>
          </w:tcPr>
          <w:p w14:paraId="24F9D67A" w14:textId="5A402B58" w:rsidR="007E69B3" w:rsidRPr="007E69B3" w:rsidRDefault="007E69B3" w:rsidP="007E69B3">
            <w:pPr>
              <w:pStyle w:val="ListParagraph"/>
              <w:numPr>
                <w:ilvl w:val="0"/>
                <w:numId w:val="16"/>
              </w:numPr>
              <w:spacing w:before="120" w:after="120"/>
              <w:rPr>
                <w:rFonts w:asciiTheme="minorHAnsi" w:hAnsiTheme="minorHAnsi" w:cstheme="minorHAnsi"/>
                <w:sz w:val="24"/>
                <w:szCs w:val="24"/>
              </w:rPr>
            </w:pPr>
            <w:r w:rsidRPr="007E69B3">
              <w:rPr>
                <w:rFonts w:asciiTheme="minorHAnsi" w:hAnsiTheme="minorHAnsi" w:cstheme="minorHAnsi"/>
                <w:sz w:val="24"/>
                <w:szCs w:val="24"/>
              </w:rPr>
              <w:t>Sterile pads, 3 in. x 3 in. (7.5 x 7.5 cm)</w:t>
            </w:r>
          </w:p>
        </w:tc>
        <w:tc>
          <w:tcPr>
            <w:tcW w:w="4585" w:type="dxa"/>
          </w:tcPr>
          <w:p w14:paraId="46FB2BBC" w14:textId="250EBCBB" w:rsidR="007E69B3" w:rsidRPr="007E69B3" w:rsidRDefault="007E69B3" w:rsidP="007E69B3">
            <w:pPr>
              <w:spacing w:before="120" w:after="120"/>
              <w:rPr>
                <w:rFonts w:asciiTheme="minorHAnsi" w:hAnsiTheme="minorHAnsi" w:cstheme="minorHAnsi"/>
                <w:sz w:val="24"/>
                <w:szCs w:val="24"/>
              </w:rPr>
            </w:pPr>
            <w:r w:rsidRPr="007E69B3">
              <w:rPr>
                <w:rFonts w:asciiTheme="minorHAnsi" w:hAnsiTheme="minorHAnsi" w:cstheme="minorHAnsi"/>
                <w:sz w:val="24"/>
                <w:szCs w:val="24"/>
              </w:rPr>
              <w:t>4</w:t>
            </w:r>
          </w:p>
        </w:tc>
      </w:tr>
    </w:tbl>
    <w:p w14:paraId="67BE846F" w14:textId="03A3A097" w:rsidR="00D45D04" w:rsidRPr="00D45D04" w:rsidRDefault="00D45D04" w:rsidP="00B56A19">
      <w:pPr>
        <w:spacing w:before="120" w:after="120" w:line="240" w:lineRule="auto"/>
        <w:rPr>
          <w:rFonts w:cstheme="minorHAnsi"/>
        </w:rPr>
      </w:pPr>
    </w:p>
    <w:sectPr w:rsidR="00D45D04" w:rsidRPr="00D45D04" w:rsidSect="0020769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C6590" w14:textId="77777777" w:rsidR="00AE1597" w:rsidRDefault="00AE1597" w:rsidP="00AE1597">
      <w:pPr>
        <w:spacing w:after="0" w:line="240" w:lineRule="auto"/>
      </w:pPr>
      <w:r>
        <w:separator/>
      </w:r>
    </w:p>
  </w:endnote>
  <w:endnote w:type="continuationSeparator" w:id="0">
    <w:p w14:paraId="7218FB87" w14:textId="77777777" w:rsidR="00AE1597" w:rsidRDefault="00AE1597" w:rsidP="00AE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600C" w14:textId="77777777" w:rsidR="00AE1597" w:rsidRDefault="00AE1597" w:rsidP="00AE1597">
      <w:pPr>
        <w:spacing w:after="0" w:line="240" w:lineRule="auto"/>
      </w:pPr>
      <w:r>
        <w:separator/>
      </w:r>
    </w:p>
  </w:footnote>
  <w:footnote w:type="continuationSeparator" w:id="0">
    <w:p w14:paraId="072DEB21" w14:textId="77777777" w:rsidR="00AE1597" w:rsidRDefault="00AE1597" w:rsidP="00AE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6EAB" w14:textId="77777777" w:rsidR="00B56A19" w:rsidRPr="00B56A19" w:rsidRDefault="00AE1597" w:rsidP="00B56A19">
    <w:pPr>
      <w:pStyle w:val="NormalWeb"/>
      <w:spacing w:before="0" w:beforeAutospacing="0" w:after="0" w:afterAutospacing="0"/>
      <w:rPr>
        <w:color w:val="000000" w:themeColor="text1"/>
      </w:rPr>
    </w:pPr>
    <w:r w:rsidRPr="00B56A19">
      <w:rPr>
        <w:noProof/>
        <w:color w:val="000000" w:themeColor="text1"/>
      </w:rPr>
      <w:drawing>
        <wp:anchor distT="0" distB="0" distL="114300" distR="114300" simplePos="0" relativeHeight="251658240" behindDoc="0" locked="0" layoutInCell="1" allowOverlap="1" wp14:anchorId="1C9AC84D" wp14:editId="7902E90B">
          <wp:simplePos x="0" y="0"/>
          <wp:positionH relativeFrom="column">
            <wp:posOffset>0</wp:posOffset>
          </wp:positionH>
          <wp:positionV relativeFrom="paragraph">
            <wp:posOffset>0</wp:posOffset>
          </wp:positionV>
          <wp:extent cx="762000" cy="1029165"/>
          <wp:effectExtent l="0" t="0" r="0" b="0"/>
          <wp:wrapThrough wrapText="bothSides">
            <wp:wrapPolygon edited="0">
              <wp:start x="0" y="0"/>
              <wp:lineTo x="0" y="11200"/>
              <wp:lineTo x="1080" y="12800"/>
              <wp:lineTo x="15120" y="21200"/>
              <wp:lineTo x="17820" y="21200"/>
              <wp:lineTo x="18360" y="21200"/>
              <wp:lineTo x="21060" y="18000"/>
              <wp:lineTo x="21060"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Parks.png"/>
                  <pic:cNvPicPr/>
                </pic:nvPicPr>
                <pic:blipFill>
                  <a:blip r:embed="rId1">
                    <a:extLst>
                      <a:ext uri="{28A0092B-C50C-407E-A947-70E740481C1C}">
                        <a14:useLocalDpi xmlns:a14="http://schemas.microsoft.com/office/drawing/2010/main" val="0"/>
                      </a:ext>
                    </a:extLst>
                  </a:blip>
                  <a:stretch>
                    <a:fillRect/>
                  </a:stretch>
                </pic:blipFill>
                <pic:spPr>
                  <a:xfrm>
                    <a:off x="0" y="0"/>
                    <a:ext cx="762000" cy="1029165"/>
                  </a:xfrm>
                  <a:prstGeom prst="rect">
                    <a:avLst/>
                  </a:prstGeom>
                </pic:spPr>
              </pic:pic>
            </a:graphicData>
          </a:graphic>
          <wp14:sizeRelH relativeFrom="page">
            <wp14:pctWidth>0</wp14:pctWidth>
          </wp14:sizeRelH>
          <wp14:sizeRelV relativeFrom="page">
            <wp14:pctHeight>0</wp14:pctHeight>
          </wp14:sizeRelV>
        </wp:anchor>
      </w:drawing>
    </w:r>
    <w:r w:rsidR="00B56A19" w:rsidRPr="00B56A19">
      <w:rPr>
        <w:rFonts w:ascii="Arial" w:eastAsia="Arial" w:hAnsi="Arial" w:cs="Arial"/>
        <w:color w:val="000000" w:themeColor="text1"/>
        <w:sz w:val="28"/>
        <w:szCs w:val="28"/>
      </w:rPr>
      <w:t xml:space="preserve"> </w:t>
    </w:r>
  </w:p>
  <w:p w14:paraId="0F176181"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Vanessa Mason</w:t>
    </w:r>
  </w:p>
  <w:p w14:paraId="0F043B01" w14:textId="77777777" w:rsidR="00B56A19" w:rsidRPr="00B56A19" w:rsidRDefault="00B56A19" w:rsidP="00B56A19">
    <w:pPr>
      <w:pStyle w:val="NormalWeb"/>
      <w:spacing w:before="0" w:beforeAutospacing="0" w:after="0" w:afterAutospacing="0"/>
      <w:jc w:val="right"/>
      <w:rPr>
        <w:rFonts w:ascii="Arial" w:eastAsia="Arial" w:hAnsi="Arial" w:cs="Arial"/>
        <w:color w:val="000000" w:themeColor="text1"/>
      </w:rPr>
    </w:pPr>
    <w:r w:rsidRPr="00B56A19">
      <w:rPr>
        <w:rFonts w:ascii="Arial" w:eastAsia="Arial" w:hAnsi="Arial" w:cs="Arial"/>
        <w:color w:val="000000" w:themeColor="text1"/>
      </w:rPr>
      <w:t xml:space="preserve">State of Nevada </w:t>
    </w:r>
  </w:p>
  <w:p w14:paraId="30583E20"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Division of State Parks</w:t>
    </w:r>
  </w:p>
  <w:p w14:paraId="44542445" w14:textId="77777777" w:rsidR="00B56A19" w:rsidRPr="00B56A19" w:rsidRDefault="00B56A19" w:rsidP="00B56A19">
    <w:pPr>
      <w:pStyle w:val="NormalWeb"/>
      <w:spacing w:before="0" w:beforeAutospacing="0" w:after="0" w:afterAutospacing="0"/>
      <w:jc w:val="right"/>
      <w:rPr>
        <w:color w:val="000000" w:themeColor="text1"/>
      </w:rPr>
    </w:pPr>
    <w:r w:rsidRPr="00B56A19">
      <w:rPr>
        <w:rFonts w:ascii="Arial" w:eastAsia="Arial" w:hAnsi="Arial" w:cs="Arial"/>
        <w:color w:val="000000" w:themeColor="text1"/>
      </w:rPr>
      <w:t>Office - 775-684-2797</w:t>
    </w:r>
  </w:p>
  <w:p w14:paraId="6B005251" w14:textId="77777777" w:rsidR="00AE1597" w:rsidRDefault="00B56A19" w:rsidP="00B56A19">
    <w:pPr>
      <w:pStyle w:val="NormalWeb"/>
      <w:spacing w:before="0" w:beforeAutospacing="0" w:after="0" w:afterAutospacing="0"/>
      <w:jc w:val="right"/>
    </w:pPr>
    <w:r w:rsidRPr="00B56A19">
      <w:rPr>
        <w:rFonts w:ascii="Arial" w:eastAsia="Arial" w:hAnsi="Arial" w:cs="Arial"/>
        <w:color w:val="000000" w:themeColor="text1"/>
      </w:rPr>
      <w:t>vanessalmason@parks.nv.gov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642B"/>
    <w:multiLevelType w:val="hybridMultilevel"/>
    <w:tmpl w:val="3674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14206"/>
    <w:multiLevelType w:val="multilevel"/>
    <w:tmpl w:val="31D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84C25"/>
    <w:multiLevelType w:val="hybridMultilevel"/>
    <w:tmpl w:val="D80E0872"/>
    <w:lvl w:ilvl="0" w:tplc="90E64B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102A4"/>
    <w:multiLevelType w:val="hybridMultilevel"/>
    <w:tmpl w:val="101E9CAA"/>
    <w:lvl w:ilvl="0" w:tplc="90E64BC0">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44D0C"/>
    <w:multiLevelType w:val="hybridMultilevel"/>
    <w:tmpl w:val="1EC0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07156"/>
    <w:multiLevelType w:val="hybridMultilevel"/>
    <w:tmpl w:val="873C9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876FB"/>
    <w:multiLevelType w:val="hybridMultilevel"/>
    <w:tmpl w:val="BA70D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06158"/>
    <w:multiLevelType w:val="hybridMultilevel"/>
    <w:tmpl w:val="70F6E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908CC"/>
    <w:multiLevelType w:val="multilevel"/>
    <w:tmpl w:val="76F042B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5B330A11"/>
    <w:multiLevelType w:val="hybridMultilevel"/>
    <w:tmpl w:val="AA00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53757"/>
    <w:multiLevelType w:val="hybridMultilevel"/>
    <w:tmpl w:val="6E18E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E4EA9"/>
    <w:multiLevelType w:val="multilevel"/>
    <w:tmpl w:val="F66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585508"/>
    <w:multiLevelType w:val="hybridMultilevel"/>
    <w:tmpl w:val="F670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81ADC"/>
    <w:multiLevelType w:val="hybridMultilevel"/>
    <w:tmpl w:val="60B6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B21C6"/>
    <w:multiLevelType w:val="hybridMultilevel"/>
    <w:tmpl w:val="7DDCC0C2"/>
    <w:lvl w:ilvl="0" w:tplc="90E64BC0">
      <w:start w:val="1"/>
      <w:numFmt w:val="decimal"/>
      <w:lvlText w:val="%1."/>
      <w:lvlJc w:val="left"/>
      <w:pPr>
        <w:ind w:left="432" w:hanging="360"/>
      </w:pPr>
      <w:rPr>
        <w:rFonts w:hint="default"/>
      </w:rPr>
    </w:lvl>
    <w:lvl w:ilvl="1" w:tplc="7444D888">
      <w:start w:val="6"/>
      <w:numFmt w:val="bullet"/>
      <w:lvlText w:val="•"/>
      <w:lvlJc w:val="left"/>
      <w:pPr>
        <w:ind w:left="1152" w:hanging="360"/>
      </w:pPr>
      <w:rPr>
        <w:rFonts w:ascii="Calibri" w:eastAsia="Times New Roman" w:hAnsi="Calibri" w:cs="Calibri"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7B0A0D51"/>
    <w:multiLevelType w:val="hybridMultilevel"/>
    <w:tmpl w:val="13F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9"/>
  </w:num>
  <w:num w:numId="6">
    <w:abstractNumId w:val="15"/>
  </w:num>
  <w:num w:numId="7">
    <w:abstractNumId w:val="13"/>
  </w:num>
  <w:num w:numId="8">
    <w:abstractNumId w:val="10"/>
  </w:num>
  <w:num w:numId="9">
    <w:abstractNumId w:val="6"/>
  </w:num>
  <w:num w:numId="10">
    <w:abstractNumId w:val="14"/>
  </w:num>
  <w:num w:numId="11">
    <w:abstractNumId w:val="7"/>
  </w:num>
  <w:num w:numId="12">
    <w:abstractNumId w:val="3"/>
  </w:num>
  <w:num w:numId="13">
    <w:abstractNumId w:val="0"/>
  </w:num>
  <w:num w:numId="14">
    <w:abstractNumId w:val="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NbMwMzE3MjA3NrVU0lEKTi0uzszPAykwrgUA11+0ySwAAAA="/>
  </w:docVars>
  <w:rsids>
    <w:rsidRoot w:val="000B0208"/>
    <w:rsid w:val="000B0208"/>
    <w:rsid w:val="00102D87"/>
    <w:rsid w:val="00201BDD"/>
    <w:rsid w:val="0020769B"/>
    <w:rsid w:val="00493467"/>
    <w:rsid w:val="005A173A"/>
    <w:rsid w:val="005E4C2F"/>
    <w:rsid w:val="007E69B3"/>
    <w:rsid w:val="00916744"/>
    <w:rsid w:val="00981FA1"/>
    <w:rsid w:val="009D5AFC"/>
    <w:rsid w:val="00AE1597"/>
    <w:rsid w:val="00B56A19"/>
    <w:rsid w:val="00D12A86"/>
    <w:rsid w:val="00D45D04"/>
    <w:rsid w:val="00E63CFF"/>
    <w:rsid w:val="00EA526C"/>
    <w:rsid w:val="00F64AAC"/>
    <w:rsid w:val="00F9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817612"/>
  <w15:chartTrackingRefBased/>
  <w15:docId w15:val="{83B03C21-2AF6-45EA-B998-8B37E59D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6A19"/>
    <w:pPr>
      <w:spacing w:after="0" w:line="240" w:lineRule="auto"/>
      <w:outlineLvl w:val="0"/>
    </w:pPr>
    <w:rPr>
      <w:rFonts w:asciiTheme="majorHAnsi" w:eastAsia="Batang" w:hAnsiTheme="majorHAnsi" w:cs="Tahoma"/>
      <w:b/>
      <w:smallCaps/>
      <w:sz w:val="32"/>
      <w:szCs w:val="32"/>
    </w:rPr>
  </w:style>
  <w:style w:type="paragraph" w:styleId="Heading2">
    <w:name w:val="heading 2"/>
    <w:basedOn w:val="Normal"/>
    <w:next w:val="Normal"/>
    <w:link w:val="Heading2Char"/>
    <w:qFormat/>
    <w:rsid w:val="00B56A19"/>
    <w:pPr>
      <w:spacing w:after="0" w:line="240" w:lineRule="auto"/>
      <w:outlineLvl w:val="1"/>
    </w:pPr>
    <w:rPr>
      <w:rFonts w:asciiTheme="majorHAnsi" w:eastAsia="Batang" w:hAnsiTheme="majorHAnsi" w:cs="Tahoma"/>
      <w:b/>
    </w:rPr>
  </w:style>
  <w:style w:type="paragraph" w:styleId="Heading3">
    <w:name w:val="heading 3"/>
    <w:basedOn w:val="Normal"/>
    <w:next w:val="Normal"/>
    <w:link w:val="Heading3Char"/>
    <w:uiPriority w:val="9"/>
    <w:semiHidden/>
    <w:unhideWhenUsed/>
    <w:qFormat/>
    <w:rsid w:val="00493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AAC"/>
    <w:rPr>
      <w:color w:val="0563C1" w:themeColor="hyperlink"/>
      <w:u w:val="single"/>
    </w:rPr>
  </w:style>
  <w:style w:type="paragraph" w:styleId="ListParagraph">
    <w:name w:val="List Paragraph"/>
    <w:basedOn w:val="Normal"/>
    <w:uiPriority w:val="34"/>
    <w:qFormat/>
    <w:rsid w:val="00F64AAC"/>
    <w:pPr>
      <w:ind w:left="720"/>
      <w:contextualSpacing/>
    </w:pPr>
  </w:style>
  <w:style w:type="paragraph" w:styleId="Header">
    <w:name w:val="header"/>
    <w:basedOn w:val="Normal"/>
    <w:link w:val="HeaderChar"/>
    <w:uiPriority w:val="99"/>
    <w:unhideWhenUsed/>
    <w:rsid w:val="00AE1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97"/>
  </w:style>
  <w:style w:type="paragraph" w:styleId="Footer">
    <w:name w:val="footer"/>
    <w:basedOn w:val="Normal"/>
    <w:link w:val="FooterChar"/>
    <w:uiPriority w:val="99"/>
    <w:unhideWhenUsed/>
    <w:rsid w:val="00AE1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97"/>
  </w:style>
  <w:style w:type="paragraph" w:styleId="NormalWeb">
    <w:name w:val="Normal (Web)"/>
    <w:basedOn w:val="Normal"/>
    <w:uiPriority w:val="99"/>
    <w:unhideWhenUsed/>
    <w:rsid w:val="00B56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56A19"/>
    <w:rPr>
      <w:rFonts w:asciiTheme="majorHAnsi" w:eastAsia="Batang" w:hAnsiTheme="majorHAnsi" w:cs="Tahoma"/>
      <w:b/>
      <w:smallCaps/>
      <w:sz w:val="32"/>
      <w:szCs w:val="32"/>
    </w:rPr>
  </w:style>
  <w:style w:type="character" w:customStyle="1" w:styleId="Heading2Char">
    <w:name w:val="Heading 2 Char"/>
    <w:basedOn w:val="DefaultParagraphFont"/>
    <w:link w:val="Heading2"/>
    <w:rsid w:val="00B56A19"/>
    <w:rPr>
      <w:rFonts w:asciiTheme="majorHAnsi" w:eastAsia="Batang" w:hAnsiTheme="majorHAnsi" w:cs="Tahoma"/>
      <w:b/>
    </w:rPr>
  </w:style>
  <w:style w:type="table" w:styleId="TableGrid">
    <w:name w:val="Table Grid"/>
    <w:basedOn w:val="TableNormal"/>
    <w:rsid w:val="00B56A19"/>
    <w:pPr>
      <w:spacing w:after="0" w:line="240" w:lineRule="auto"/>
    </w:pPr>
    <w:rPr>
      <w:rFonts w:ascii="Tahoma" w:eastAsia="Batang" w:hAnsi="Tahoma"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B56A19"/>
    <w:pPr>
      <w:spacing w:after="0" w:line="240" w:lineRule="auto"/>
    </w:pPr>
    <w:rPr>
      <w:rFonts w:eastAsia="Batang" w:cs="Times New Roman"/>
    </w:rPr>
    <w:tblPr>
      <w:tblBorders>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style>
  <w:style w:type="character" w:customStyle="1" w:styleId="Heading3Char">
    <w:name w:val="Heading 3 Char"/>
    <w:basedOn w:val="DefaultParagraphFont"/>
    <w:link w:val="Heading3"/>
    <w:uiPriority w:val="9"/>
    <w:semiHidden/>
    <w:rsid w:val="00493467"/>
    <w:rPr>
      <w:rFonts w:asciiTheme="majorHAnsi" w:eastAsiaTheme="majorEastAsia" w:hAnsiTheme="majorHAnsi" w:cstheme="majorBidi"/>
      <w:color w:val="1F3763" w:themeColor="accent1" w:themeShade="7F"/>
      <w:sz w:val="24"/>
      <w:szCs w:val="24"/>
    </w:rPr>
  </w:style>
  <w:style w:type="paragraph" w:customStyle="1" w:styleId="msoaccenttext10">
    <w:name w:val="msoaccenttext10"/>
    <w:rsid w:val="00493467"/>
    <w:pPr>
      <w:spacing w:after="0" w:line="307" w:lineRule="auto"/>
    </w:pPr>
    <w:rPr>
      <w:rFonts w:ascii="Gill Sans MT" w:eastAsia="Times New Roman" w:hAnsi="Gill Sans MT" w:cs="Times New Roman"/>
      <w:b/>
      <w:bCs/>
      <w:color w:val="000000"/>
      <w:kern w:val="28"/>
      <w:sz w:val="26"/>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65685">
      <w:bodyDiv w:val="1"/>
      <w:marLeft w:val="0"/>
      <w:marRight w:val="0"/>
      <w:marTop w:val="0"/>
      <w:marBottom w:val="0"/>
      <w:divBdr>
        <w:top w:val="none" w:sz="0" w:space="0" w:color="auto"/>
        <w:left w:val="none" w:sz="0" w:space="0" w:color="auto"/>
        <w:bottom w:val="none" w:sz="0" w:space="0" w:color="auto"/>
        <w:right w:val="none" w:sz="0" w:space="0" w:color="auto"/>
      </w:divBdr>
    </w:div>
    <w:div w:id="297152865">
      <w:bodyDiv w:val="1"/>
      <w:marLeft w:val="0"/>
      <w:marRight w:val="0"/>
      <w:marTop w:val="0"/>
      <w:marBottom w:val="0"/>
      <w:divBdr>
        <w:top w:val="none" w:sz="0" w:space="0" w:color="auto"/>
        <w:left w:val="none" w:sz="0" w:space="0" w:color="auto"/>
        <w:bottom w:val="none" w:sz="0" w:space="0" w:color="auto"/>
        <w:right w:val="none" w:sz="0" w:space="0" w:color="auto"/>
      </w:divBdr>
    </w:div>
    <w:div w:id="602105732">
      <w:bodyDiv w:val="1"/>
      <w:marLeft w:val="0"/>
      <w:marRight w:val="0"/>
      <w:marTop w:val="0"/>
      <w:marBottom w:val="0"/>
      <w:divBdr>
        <w:top w:val="none" w:sz="0" w:space="0" w:color="auto"/>
        <w:left w:val="none" w:sz="0" w:space="0" w:color="auto"/>
        <w:bottom w:val="none" w:sz="0" w:space="0" w:color="auto"/>
        <w:right w:val="none" w:sz="0" w:space="0" w:color="auto"/>
      </w:divBdr>
    </w:div>
    <w:div w:id="696076496">
      <w:bodyDiv w:val="1"/>
      <w:marLeft w:val="0"/>
      <w:marRight w:val="0"/>
      <w:marTop w:val="0"/>
      <w:marBottom w:val="0"/>
      <w:divBdr>
        <w:top w:val="none" w:sz="0" w:space="0" w:color="auto"/>
        <w:left w:val="none" w:sz="0" w:space="0" w:color="auto"/>
        <w:bottom w:val="none" w:sz="0" w:space="0" w:color="auto"/>
        <w:right w:val="none" w:sz="0" w:space="0" w:color="auto"/>
      </w:divBdr>
    </w:div>
    <w:div w:id="727150067">
      <w:bodyDiv w:val="1"/>
      <w:marLeft w:val="0"/>
      <w:marRight w:val="0"/>
      <w:marTop w:val="0"/>
      <w:marBottom w:val="0"/>
      <w:divBdr>
        <w:top w:val="none" w:sz="0" w:space="0" w:color="auto"/>
        <w:left w:val="none" w:sz="0" w:space="0" w:color="auto"/>
        <w:bottom w:val="none" w:sz="0" w:space="0" w:color="auto"/>
        <w:right w:val="none" w:sz="0" w:space="0" w:color="auto"/>
      </w:divBdr>
    </w:div>
    <w:div w:id="770515417">
      <w:bodyDiv w:val="1"/>
      <w:marLeft w:val="0"/>
      <w:marRight w:val="0"/>
      <w:marTop w:val="0"/>
      <w:marBottom w:val="0"/>
      <w:divBdr>
        <w:top w:val="none" w:sz="0" w:space="0" w:color="auto"/>
        <w:left w:val="none" w:sz="0" w:space="0" w:color="auto"/>
        <w:bottom w:val="none" w:sz="0" w:space="0" w:color="auto"/>
        <w:right w:val="none" w:sz="0" w:space="0" w:color="auto"/>
      </w:divBdr>
    </w:div>
    <w:div w:id="777527631">
      <w:bodyDiv w:val="1"/>
      <w:marLeft w:val="0"/>
      <w:marRight w:val="0"/>
      <w:marTop w:val="0"/>
      <w:marBottom w:val="0"/>
      <w:divBdr>
        <w:top w:val="none" w:sz="0" w:space="0" w:color="auto"/>
        <w:left w:val="none" w:sz="0" w:space="0" w:color="auto"/>
        <w:bottom w:val="none" w:sz="0" w:space="0" w:color="auto"/>
        <w:right w:val="none" w:sz="0" w:space="0" w:color="auto"/>
      </w:divBdr>
    </w:div>
    <w:div w:id="10259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4B99-5EE3-4460-945F-8CB3407C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DCNR</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 Mason</dc:creator>
  <cp:keywords/>
  <dc:description/>
  <cp:lastModifiedBy>Vanessa L. Mason</cp:lastModifiedBy>
  <cp:revision>3</cp:revision>
  <dcterms:created xsi:type="dcterms:W3CDTF">2021-08-06T17:24:00Z</dcterms:created>
  <dcterms:modified xsi:type="dcterms:W3CDTF">2021-08-06T17:26:00Z</dcterms:modified>
</cp:coreProperties>
</file>